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CFE2" w14:textId="77777777" w:rsidR="000C111E" w:rsidRDefault="008C5FB7">
      <w:pPr>
        <w:spacing w:after="0"/>
        <w:ind w:left="-5" w:right="81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75FD4F9" wp14:editId="127A4B12">
            <wp:simplePos x="0" y="0"/>
            <wp:positionH relativeFrom="column">
              <wp:posOffset>9008491</wp:posOffset>
            </wp:positionH>
            <wp:positionV relativeFrom="paragraph">
              <wp:posOffset>-178942</wp:posOffset>
            </wp:positionV>
            <wp:extent cx="984250" cy="984250"/>
            <wp:effectExtent l="0" t="0" r="0" b="0"/>
            <wp:wrapSquare wrapText="bothSides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 xml:space="preserve">North East Futures UTC - Equality Action Plan 2018-2021  </w:t>
      </w:r>
    </w:p>
    <w:p w14:paraId="785DE744" w14:textId="77777777" w:rsidR="000C111E" w:rsidRDefault="008C5FB7">
      <w:pPr>
        <w:spacing w:after="0"/>
        <w:ind w:right="81"/>
      </w:pPr>
      <w:r>
        <w:rPr>
          <w:color w:val="002060"/>
          <w:sz w:val="16"/>
        </w:rPr>
        <w:t xml:space="preserve"> </w:t>
      </w:r>
    </w:p>
    <w:p w14:paraId="457E178F" w14:textId="77777777" w:rsidR="000C111E" w:rsidRDefault="008C5FB7">
      <w:pPr>
        <w:spacing w:after="0" w:line="216" w:lineRule="auto"/>
        <w:ind w:left="4757" w:right="81" w:hanging="4757"/>
      </w:pPr>
      <w:r>
        <w:rPr>
          <w:color w:val="002060"/>
          <w:sz w:val="16"/>
        </w:rPr>
        <w:t xml:space="preserve"> </w:t>
      </w:r>
      <w:r>
        <w:rPr>
          <w:b/>
          <w:color w:val="002060"/>
          <w:sz w:val="48"/>
        </w:rPr>
        <w:t xml:space="preserve">Equality Action Plan 2018-2021 </w:t>
      </w:r>
      <w:r>
        <w:rPr>
          <w:color w:val="002060"/>
          <w:sz w:val="48"/>
        </w:rPr>
        <w:t xml:space="preserve"> </w:t>
      </w:r>
    </w:p>
    <w:p w14:paraId="115AAC88" w14:textId="77777777" w:rsidR="000C111E" w:rsidRDefault="008C5FB7">
      <w:pPr>
        <w:spacing w:after="0"/>
      </w:pPr>
      <w:r>
        <w:rPr>
          <w:rFonts w:ascii="Arial" w:eastAsia="Arial" w:hAnsi="Arial" w:cs="Arial"/>
        </w:rPr>
        <w:t xml:space="preserve"> </w:t>
      </w:r>
      <w:r>
        <w:t xml:space="preserve"> </w:t>
      </w:r>
      <w:r w:rsidRPr="008C5FB7">
        <w:rPr>
          <w:color w:val="FF0000"/>
        </w:rPr>
        <w:t>Updated 2-3-2021 D Sydes</w:t>
      </w:r>
    </w:p>
    <w:tbl>
      <w:tblPr>
        <w:tblStyle w:val="TableGrid"/>
        <w:tblW w:w="15674" w:type="dxa"/>
        <w:tblInd w:w="19" w:type="dxa"/>
        <w:tblCellMar>
          <w:top w:w="113" w:type="dxa"/>
          <w:left w:w="94" w:type="dxa"/>
          <w:bottom w:w="8" w:type="dxa"/>
          <w:right w:w="39" w:type="dxa"/>
        </w:tblCellMar>
        <w:tblLook w:val="04A0" w:firstRow="1" w:lastRow="0" w:firstColumn="1" w:lastColumn="0" w:noHBand="0" w:noVBand="1"/>
      </w:tblPr>
      <w:tblGrid>
        <w:gridCol w:w="2317"/>
        <w:gridCol w:w="4053"/>
        <w:gridCol w:w="3369"/>
        <w:gridCol w:w="3094"/>
        <w:gridCol w:w="2841"/>
      </w:tblGrid>
      <w:tr w:rsidR="000C111E" w14:paraId="0D6CA20E" w14:textId="77777777">
        <w:trPr>
          <w:trHeight w:val="841"/>
        </w:trPr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E08A"/>
            <w:vAlign w:val="bottom"/>
          </w:tcPr>
          <w:p w14:paraId="5E99A03E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Public Sector Equality Duty </w:t>
            </w:r>
            <w:r>
              <w:t xml:space="preserve"> </w:t>
            </w:r>
          </w:p>
        </w:tc>
        <w:tc>
          <w:tcPr>
            <w:tcW w:w="4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E08A"/>
          </w:tcPr>
          <w:p w14:paraId="46A54543" w14:textId="77777777" w:rsidR="000C111E" w:rsidRDefault="008C5FB7">
            <w:pPr>
              <w:spacing w:after="0"/>
            </w:pPr>
            <w:r>
              <w:rPr>
                <w:b/>
              </w:rPr>
              <w:t xml:space="preserve">Equality Objective </w:t>
            </w:r>
            <w:r>
              <w:t xml:space="preserve"> 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E08A"/>
          </w:tcPr>
          <w:p w14:paraId="4D5EF3E8" w14:textId="77777777" w:rsidR="000C111E" w:rsidRDefault="008C5FB7">
            <w:pPr>
              <w:spacing w:after="0"/>
              <w:ind w:left="1"/>
            </w:pPr>
            <w:r>
              <w:rPr>
                <w:b/>
              </w:rPr>
              <w:t xml:space="preserve">Strategies </w:t>
            </w:r>
            <w:r>
              <w:t xml:space="preserve"> 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E08A"/>
          </w:tcPr>
          <w:p w14:paraId="4EBFD995" w14:textId="77777777" w:rsidR="000C111E" w:rsidRDefault="008C5FB7">
            <w:pPr>
              <w:spacing w:after="0"/>
            </w:pPr>
            <w:r>
              <w:rPr>
                <w:b/>
              </w:rPr>
              <w:t xml:space="preserve">Success Criteria </w:t>
            </w:r>
            <w:r>
              <w:t xml:space="preserve">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E08A"/>
          </w:tcPr>
          <w:p w14:paraId="310AFBDA" w14:textId="77777777" w:rsidR="000C111E" w:rsidRDefault="008C5FB7">
            <w:pPr>
              <w:spacing w:after="0"/>
            </w:pPr>
            <w:r>
              <w:rPr>
                <w:b/>
              </w:rPr>
              <w:t xml:space="preserve">Responsibility </w:t>
            </w:r>
            <w:r>
              <w:t xml:space="preserve"> </w:t>
            </w:r>
          </w:p>
        </w:tc>
      </w:tr>
      <w:tr w:rsidR="000C111E" w14:paraId="454C5326" w14:textId="77777777">
        <w:trPr>
          <w:trHeight w:val="3120"/>
        </w:trPr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91ADFB" w14:textId="77777777" w:rsidR="000C111E" w:rsidRDefault="008C5FB7">
            <w:pPr>
              <w:spacing w:after="0" w:line="239" w:lineRule="auto"/>
              <w:ind w:left="3" w:hanging="2"/>
            </w:pPr>
            <w:r>
              <w:rPr>
                <w:b/>
              </w:rPr>
              <w:t xml:space="preserve">Eliminate </w:t>
            </w:r>
            <w:r>
              <w:t xml:space="preserve"> </w:t>
            </w:r>
            <w:r>
              <w:rPr>
                <w:b/>
              </w:rPr>
              <w:t xml:space="preserve">discrimination, harassment and </w:t>
            </w:r>
            <w:r>
              <w:t xml:space="preserve"> </w:t>
            </w:r>
          </w:p>
          <w:p w14:paraId="3ECC472E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victimisation </w:t>
            </w:r>
            <w:r>
              <w:t xml:space="preserve"> </w:t>
            </w:r>
          </w:p>
          <w:p w14:paraId="3DD3971D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959007C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67483CA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EF0C835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63D5B58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AE5FA63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3C38360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E93EACB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BA33D64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07728C1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36633EAB" w14:textId="77777777" w:rsidR="000C111E" w:rsidRDefault="008C5FB7">
            <w:pPr>
              <w:spacing w:after="0"/>
              <w:ind w:left="3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7F5B3" w14:textId="77777777" w:rsidR="000C111E" w:rsidRDefault="008C5FB7">
            <w:pPr>
              <w:spacing w:after="0" w:line="240" w:lineRule="auto"/>
              <w:ind w:right="15"/>
            </w:pPr>
            <w:r>
              <w:t xml:space="preserve">1) To ensure students are not discriminated against for  </w:t>
            </w:r>
          </w:p>
          <w:p w14:paraId="674983C1" w14:textId="77777777" w:rsidR="000C111E" w:rsidRDefault="008C5FB7">
            <w:pPr>
              <w:spacing w:after="0" w:line="239" w:lineRule="auto"/>
            </w:pPr>
            <w:r>
              <w:t xml:space="preserve">race/religion/sexuality/gender/background or any other area at the UTC </w:t>
            </w:r>
          </w:p>
          <w:p w14:paraId="0A507801" w14:textId="77777777" w:rsidR="000C111E" w:rsidRDefault="008C5FB7">
            <w:pPr>
              <w:spacing w:after="0"/>
            </w:pPr>
            <w:r>
              <w:t xml:space="preserve">  </w:t>
            </w:r>
          </w:p>
          <w:p w14:paraId="4C187FA0" w14:textId="77777777" w:rsidR="000C111E" w:rsidRDefault="008C5FB7">
            <w:pPr>
              <w:spacing w:after="0"/>
            </w:pPr>
            <w:r>
              <w:t xml:space="preserve">  </w:t>
            </w:r>
          </w:p>
          <w:p w14:paraId="62E4FEFB" w14:textId="77777777" w:rsidR="000C111E" w:rsidRDefault="008C5FB7">
            <w:pPr>
              <w:spacing w:after="0"/>
            </w:pPr>
            <w:r>
              <w:t xml:space="preserve">  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16C591" w14:textId="77777777" w:rsidR="000C111E" w:rsidRDefault="008C5FB7">
            <w:pPr>
              <w:numPr>
                <w:ilvl w:val="0"/>
                <w:numId w:val="1"/>
              </w:numPr>
              <w:spacing w:after="45" w:line="241" w:lineRule="auto"/>
              <w:ind w:hanging="360"/>
            </w:pPr>
            <w:r>
              <w:t xml:space="preserve">Use of digital signage to promote British Values </w:t>
            </w:r>
          </w:p>
          <w:p w14:paraId="32A6121C" w14:textId="77777777" w:rsidR="000C111E" w:rsidRDefault="008C5FB7">
            <w:pPr>
              <w:numPr>
                <w:ilvl w:val="0"/>
                <w:numId w:val="1"/>
              </w:numPr>
              <w:spacing w:after="45" w:line="240" w:lineRule="auto"/>
              <w:ind w:hanging="360"/>
            </w:pPr>
            <w:r>
              <w:t xml:space="preserve">Poverty proofing </w:t>
            </w:r>
            <w:r>
              <w:t xml:space="preserve">project in 2019 </w:t>
            </w:r>
          </w:p>
          <w:p w14:paraId="28118C1F" w14:textId="77777777" w:rsidR="000C111E" w:rsidRDefault="008C5FB7">
            <w:pPr>
              <w:numPr>
                <w:ilvl w:val="0"/>
                <w:numId w:val="1"/>
              </w:numPr>
              <w:spacing w:after="45" w:line="240" w:lineRule="auto"/>
              <w:ind w:hanging="360"/>
            </w:pPr>
            <w:r>
              <w:t xml:space="preserve">Ethos and code of conduct implementation </w:t>
            </w:r>
          </w:p>
          <w:p w14:paraId="443953D5" w14:textId="77777777" w:rsidR="000C111E" w:rsidRDefault="008C5FB7">
            <w:pPr>
              <w:numPr>
                <w:ilvl w:val="0"/>
                <w:numId w:val="1"/>
              </w:numPr>
              <w:spacing w:after="0"/>
              <w:ind w:hanging="360"/>
            </w:pPr>
            <w:r>
              <w:t xml:space="preserve">Personal Development </w:t>
            </w:r>
          </w:p>
          <w:p w14:paraId="6651F2A9" w14:textId="77777777" w:rsidR="000C111E" w:rsidRDefault="008C5FB7">
            <w:pPr>
              <w:spacing w:after="0"/>
              <w:ind w:left="721"/>
            </w:pPr>
            <w:r>
              <w:t xml:space="preserve">lessons on British Values </w:t>
            </w:r>
          </w:p>
          <w:p w14:paraId="70D726E4" w14:textId="77777777" w:rsidR="000C111E" w:rsidRDefault="008C5FB7">
            <w:pPr>
              <w:spacing w:after="0"/>
              <w:ind w:left="721"/>
            </w:pPr>
            <w:r>
              <w:t xml:space="preserve">and Extremism </w:t>
            </w:r>
          </w:p>
          <w:p w14:paraId="08FBEF71" w14:textId="77777777" w:rsidR="000C111E" w:rsidRDefault="008C5FB7">
            <w:pPr>
              <w:spacing w:after="0"/>
              <w:ind w:left="1"/>
            </w:pPr>
            <w:r>
              <w:t xml:space="preserve">  </w:t>
            </w:r>
          </w:p>
          <w:p w14:paraId="441D8A35" w14:textId="77777777" w:rsidR="000C111E" w:rsidRDefault="008C5FB7">
            <w:pPr>
              <w:spacing w:after="0"/>
              <w:ind w:left="1"/>
            </w:pPr>
            <w:r>
              <w:t xml:space="preserve">  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4BEA05" w14:textId="77777777" w:rsidR="000C111E" w:rsidRDefault="008C5FB7">
            <w:pPr>
              <w:numPr>
                <w:ilvl w:val="0"/>
                <w:numId w:val="2"/>
              </w:numPr>
              <w:spacing w:after="45" w:line="240" w:lineRule="auto"/>
              <w:ind w:right="32" w:hanging="360"/>
            </w:pPr>
            <w:r>
              <w:t xml:space="preserve">No incidents of bullying reported on DfE incident returns </w:t>
            </w:r>
          </w:p>
          <w:p w14:paraId="475DA8B1" w14:textId="77777777" w:rsidR="000C111E" w:rsidRDefault="008C5FB7">
            <w:pPr>
              <w:numPr>
                <w:ilvl w:val="0"/>
                <w:numId w:val="2"/>
              </w:numPr>
              <w:spacing w:after="45" w:line="240" w:lineRule="auto"/>
              <w:ind w:right="32" w:hanging="360"/>
            </w:pPr>
            <w:r>
              <w:t xml:space="preserve">Positive feedback from students/staff/visitors validated by external DfE review </w:t>
            </w:r>
          </w:p>
          <w:p w14:paraId="6F1D7733" w14:textId="77777777" w:rsidR="000C111E" w:rsidRDefault="008C5FB7">
            <w:pPr>
              <w:numPr>
                <w:ilvl w:val="0"/>
                <w:numId w:val="2"/>
              </w:numPr>
              <w:spacing w:after="1" w:line="238" w:lineRule="auto"/>
              <w:ind w:right="32" w:hanging="360"/>
            </w:pPr>
            <w:r>
              <w:t xml:space="preserve">Students and Staff understand British </w:t>
            </w:r>
          </w:p>
          <w:p w14:paraId="5872C4C1" w14:textId="77777777" w:rsidR="000C111E" w:rsidRDefault="008C5FB7">
            <w:pPr>
              <w:spacing w:after="0"/>
              <w:ind w:left="720"/>
            </w:pPr>
            <w:r>
              <w:t xml:space="preserve">Values </w:t>
            </w:r>
          </w:p>
          <w:p w14:paraId="45F3093D" w14:textId="77777777" w:rsidR="000C111E" w:rsidRDefault="008C5FB7">
            <w:pPr>
              <w:spacing w:after="0"/>
            </w:pPr>
            <w:r>
              <w:t xml:space="preserve">  </w:t>
            </w:r>
          </w:p>
        </w:tc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63CEF" w14:textId="77777777" w:rsidR="000C111E" w:rsidRDefault="008C5FB7">
            <w:pPr>
              <w:spacing w:after="0"/>
            </w:pPr>
            <w:r>
              <w:t xml:space="preserve">Pastoral staff  </w:t>
            </w:r>
          </w:p>
        </w:tc>
      </w:tr>
      <w:tr w:rsidR="000C111E" w14:paraId="36E188F7" w14:textId="77777777">
        <w:trPr>
          <w:trHeight w:val="44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A6BC" w14:textId="77777777" w:rsidR="000C111E" w:rsidRDefault="000C111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2A2D" w14:textId="77777777" w:rsidR="000C111E" w:rsidRDefault="000C111E"/>
        </w:tc>
        <w:tc>
          <w:tcPr>
            <w:tcW w:w="93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31DCD0" w14:textId="77777777" w:rsidR="000C111E" w:rsidRDefault="008C5FB7">
            <w:pPr>
              <w:spacing w:after="34" w:line="239" w:lineRule="auto"/>
              <w:ind w:left="1" w:right="6885"/>
            </w:pPr>
            <w:r>
              <w:rPr>
                <w:b/>
                <w:u w:val="single" w:color="000000"/>
              </w:rPr>
              <w:t>Progress Commentary</w:t>
            </w:r>
            <w:r>
              <w:rPr>
                <w:b/>
              </w:rPr>
              <w:t xml:space="preserve"> </w:t>
            </w:r>
            <w:r>
              <w:t xml:space="preserve">As of December 2018: </w:t>
            </w:r>
          </w:p>
          <w:p w14:paraId="4BF0D095" w14:textId="77777777" w:rsidR="000C111E" w:rsidRDefault="008C5FB7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t xml:space="preserve">Digital signage reinforces message of British values all day every day </w:t>
            </w:r>
          </w:p>
          <w:p w14:paraId="707EC6BB" w14:textId="77777777" w:rsidR="000C111E" w:rsidRDefault="008C5FB7">
            <w:pPr>
              <w:numPr>
                <w:ilvl w:val="0"/>
                <w:numId w:val="3"/>
              </w:numPr>
              <w:spacing w:after="12"/>
              <w:ind w:hanging="360"/>
            </w:pPr>
            <w:r>
              <w:t xml:space="preserve">Positive feedback from first DfE monitoring  visit Nov 2018 </w:t>
            </w:r>
          </w:p>
          <w:p w14:paraId="4A9AF5A2" w14:textId="77777777" w:rsidR="000C111E" w:rsidRDefault="008C5FB7">
            <w:pPr>
              <w:numPr>
                <w:ilvl w:val="0"/>
                <w:numId w:val="3"/>
              </w:numPr>
              <w:spacing w:after="34" w:line="239" w:lineRule="auto"/>
              <w:ind w:hanging="360"/>
            </w:pPr>
            <w:r>
              <w:t xml:space="preserve">Prayer room in place which has been seen and deemed acceptable by DfE Regional Coordinator for Prevent </w:t>
            </w:r>
          </w:p>
          <w:p w14:paraId="35CE31E0" w14:textId="77777777" w:rsidR="000C111E" w:rsidRDefault="008C5FB7">
            <w:pPr>
              <w:numPr>
                <w:ilvl w:val="0"/>
                <w:numId w:val="3"/>
              </w:numPr>
              <w:spacing w:after="3" w:line="237" w:lineRule="auto"/>
              <w:ind w:hanging="360"/>
            </w:pPr>
            <w:r>
              <w:t xml:space="preserve">Year 10 students have had five Personal Development lessons on British Values, Extremism and Extremist Propaganda </w:t>
            </w:r>
          </w:p>
          <w:p w14:paraId="425C390A" w14:textId="77777777" w:rsidR="000C111E" w:rsidRDefault="008C5FB7">
            <w:pPr>
              <w:spacing w:after="0"/>
              <w:ind w:left="1"/>
            </w:pPr>
            <w:r>
              <w:t xml:space="preserve"> </w:t>
            </w:r>
          </w:p>
          <w:p w14:paraId="6705063A" w14:textId="77777777" w:rsidR="000C111E" w:rsidRPr="008C5FB7" w:rsidRDefault="008C5FB7">
            <w:pPr>
              <w:spacing w:after="12"/>
              <w:ind w:left="1"/>
              <w:rPr>
                <w:b/>
              </w:rPr>
            </w:pPr>
            <w:r w:rsidRPr="008C5FB7">
              <w:rPr>
                <w:b/>
              </w:rPr>
              <w:t xml:space="preserve">March 2020 </w:t>
            </w:r>
          </w:p>
          <w:p w14:paraId="46CCD7DB" w14:textId="77777777" w:rsidR="000C111E" w:rsidRDefault="008C5FB7">
            <w:pPr>
              <w:numPr>
                <w:ilvl w:val="0"/>
                <w:numId w:val="4"/>
              </w:numPr>
              <w:spacing w:after="34" w:line="239" w:lineRule="auto"/>
              <w:ind w:hanging="360"/>
            </w:pPr>
            <w:r>
              <w:t xml:space="preserve">Very rare if ever issues with discrimination. Strong behaviour intervention where victimisation occurs </w:t>
            </w:r>
          </w:p>
          <w:p w14:paraId="3B81BEE8" w14:textId="77777777" w:rsidR="000C111E" w:rsidRDefault="008C5FB7">
            <w:pPr>
              <w:numPr>
                <w:ilvl w:val="0"/>
                <w:numId w:val="4"/>
              </w:numPr>
              <w:spacing w:after="12"/>
              <w:ind w:hanging="360"/>
            </w:pPr>
            <w:r>
              <w:t>Code of conduct visible</w:t>
            </w:r>
            <w:r>
              <w:t xml:space="preserve"> across school and in line with industry expectations </w:t>
            </w:r>
          </w:p>
          <w:p w14:paraId="7B8595A8" w14:textId="77777777" w:rsidR="000C111E" w:rsidRDefault="008C5FB7">
            <w:pPr>
              <w:numPr>
                <w:ilvl w:val="0"/>
                <w:numId w:val="4"/>
              </w:numPr>
              <w:spacing w:after="0" w:line="239" w:lineRule="auto"/>
              <w:ind w:hanging="360"/>
            </w:pPr>
            <w:r>
              <w:t xml:space="preserve">British values on all PC screens and on TVs regularly as well as part of PD curriculum. EE feedback positive on this topic </w:t>
            </w:r>
          </w:p>
          <w:p w14:paraId="4ECB43E5" w14:textId="77777777" w:rsidR="000C111E" w:rsidRPr="008C5FB7" w:rsidRDefault="008C5FB7">
            <w:pPr>
              <w:spacing w:after="0"/>
              <w:ind w:left="1"/>
              <w:rPr>
                <w:b/>
              </w:rPr>
            </w:pPr>
            <w:r w:rsidRPr="008C5FB7">
              <w:rPr>
                <w:b/>
              </w:rPr>
              <w:lastRenderedPageBreak/>
              <w:t xml:space="preserve"> March 2021</w:t>
            </w:r>
          </w:p>
          <w:p w14:paraId="66F87763" w14:textId="77777777" w:rsidR="008C5FB7" w:rsidRDefault="008C5FB7">
            <w:pPr>
              <w:spacing w:after="0"/>
              <w:ind w:left="1"/>
            </w:pPr>
          </w:p>
          <w:p w14:paraId="650910F1" w14:textId="77777777" w:rsidR="008C5FB7" w:rsidRDefault="008C5FB7" w:rsidP="008C5FB7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Rare </w:t>
            </w:r>
            <w:proofErr w:type="spellStart"/>
            <w:r>
              <w:t>isntances</w:t>
            </w:r>
            <w:proofErr w:type="spellEnd"/>
            <w:r>
              <w:t xml:space="preserve"> of discrimination or victimisation. Rare occurrences are effectively and efficiently dealt with – evidence of this from staff/student/parent survey and ‘mock’ OFSTED</w:t>
            </w:r>
          </w:p>
          <w:p w14:paraId="27DBD0AF" w14:textId="77777777" w:rsidR="008C5FB7" w:rsidRDefault="008C5FB7" w:rsidP="008C5FB7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>Code of conduct updated annually, new behaviour protocols added to Learning Folders March 2021, code of conduct given at enrolment and available on website</w:t>
            </w:r>
          </w:p>
        </w:tc>
      </w:tr>
    </w:tbl>
    <w:p w14:paraId="055038D6" w14:textId="77777777" w:rsidR="000C111E" w:rsidRDefault="008C5FB7">
      <w:pPr>
        <w:spacing w:after="0"/>
        <w:ind w:right="4780"/>
        <w:jc w:val="right"/>
      </w:pPr>
      <w:r>
        <w:rPr>
          <w:b/>
          <w:color w:val="002060"/>
        </w:rPr>
        <w:lastRenderedPageBreak/>
        <w:t xml:space="preserve">North East Futures UTC part of Tyne Coast Academy Trust 08313162 </w:t>
      </w:r>
    </w:p>
    <w:p w14:paraId="71A119B2" w14:textId="77777777" w:rsidR="000C111E" w:rsidRDefault="008C5FB7">
      <w:pPr>
        <w:spacing w:after="0"/>
        <w:ind w:left="-5" w:right="81" w:hanging="10"/>
      </w:pPr>
      <w:r>
        <w:rPr>
          <w:b/>
          <w:color w:val="002060"/>
        </w:rPr>
        <w:t xml:space="preserve">North East Futures UTC - Equality Action Plan 2018-2021  </w:t>
      </w:r>
    </w:p>
    <w:p w14:paraId="4C63A518" w14:textId="77777777" w:rsidR="000C111E" w:rsidRDefault="008C5FB7">
      <w:pPr>
        <w:spacing w:after="0"/>
      </w:pPr>
      <w:r>
        <w:t xml:space="preserve"> </w:t>
      </w:r>
    </w:p>
    <w:tbl>
      <w:tblPr>
        <w:tblStyle w:val="TableGrid"/>
        <w:tblW w:w="15676" w:type="dxa"/>
        <w:tblInd w:w="17" w:type="dxa"/>
        <w:tblCellMar>
          <w:top w:w="154" w:type="dxa"/>
          <w:left w:w="9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319"/>
        <w:gridCol w:w="4051"/>
        <w:gridCol w:w="3370"/>
        <w:gridCol w:w="3092"/>
        <w:gridCol w:w="2844"/>
      </w:tblGrid>
      <w:tr w:rsidR="000C111E" w14:paraId="4BD4FC12" w14:textId="77777777">
        <w:trPr>
          <w:trHeight w:val="2840"/>
        </w:trPr>
        <w:tc>
          <w:tcPr>
            <w:tcW w:w="23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C1650F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074EB40A" w14:textId="77777777" w:rsidR="000C111E" w:rsidRDefault="008C5FB7">
            <w:pPr>
              <w:spacing w:after="0" w:line="241" w:lineRule="auto"/>
              <w:ind w:left="5"/>
            </w:pPr>
            <w:r>
              <w:rPr>
                <w:b/>
              </w:rPr>
              <w:t xml:space="preserve">Advance equality of opportunity between </w:t>
            </w:r>
            <w:r>
              <w:t xml:space="preserve"> </w:t>
            </w:r>
          </w:p>
          <w:p w14:paraId="715D90F6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different groups </w:t>
            </w:r>
            <w:r>
              <w:t xml:space="preserve"> </w:t>
            </w:r>
          </w:p>
          <w:p w14:paraId="2D8F2973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835F2D2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78B15E84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783F44D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C3FFBAD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DA6DD30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</w:p>
          <w:p w14:paraId="75803CE5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3AD21D0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33F715E2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90F5978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CE80651" w14:textId="77777777" w:rsidR="000C111E" w:rsidRDefault="008C5FB7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3454" w14:textId="77777777" w:rsidR="000C111E" w:rsidRDefault="008C5FB7">
            <w:pPr>
              <w:spacing w:after="0"/>
            </w:pPr>
            <w:r>
              <w:lastRenderedPageBreak/>
              <w:t xml:space="preserve">2) To increase the attendance of  </w:t>
            </w:r>
          </w:p>
          <w:p w14:paraId="52AF71BA" w14:textId="77777777" w:rsidR="000C111E" w:rsidRDefault="008C5FB7">
            <w:pPr>
              <w:spacing w:after="0"/>
            </w:pPr>
            <w:r>
              <w:t xml:space="preserve">students across the college by 2%  </w:t>
            </w:r>
          </w:p>
          <w:p w14:paraId="2FAAC61C" w14:textId="77777777" w:rsidR="000C111E" w:rsidRDefault="008C5FB7">
            <w:pPr>
              <w:spacing w:after="0"/>
            </w:pPr>
            <w:r>
              <w:t xml:space="preserve">  </w:t>
            </w:r>
          </w:p>
          <w:p w14:paraId="457EFC55" w14:textId="77777777" w:rsidR="000C111E" w:rsidRDefault="008C5FB7">
            <w:pPr>
              <w:spacing w:after="0"/>
            </w:pPr>
            <w:r>
              <w:t xml:space="preserve"> </w:t>
            </w:r>
          </w:p>
          <w:p w14:paraId="33A332C1" w14:textId="77777777" w:rsidR="000C111E" w:rsidRDefault="008C5FB7">
            <w:pPr>
              <w:spacing w:after="0"/>
            </w:pPr>
            <w:r>
              <w:t xml:space="preserve">  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DEE2D8" w14:textId="77777777" w:rsidR="000C111E" w:rsidRDefault="008C5FB7">
            <w:pPr>
              <w:numPr>
                <w:ilvl w:val="0"/>
                <w:numId w:val="5"/>
              </w:numPr>
              <w:spacing w:after="0"/>
              <w:ind w:hanging="360"/>
            </w:pPr>
            <w:r>
              <w:t xml:space="preserve">Attendance Support </w:t>
            </w:r>
          </w:p>
          <w:p w14:paraId="7FB12BF1" w14:textId="77777777" w:rsidR="000C111E" w:rsidRDefault="008C5FB7">
            <w:pPr>
              <w:spacing w:after="46" w:line="239" w:lineRule="auto"/>
              <w:ind w:left="722"/>
            </w:pPr>
            <w:r>
              <w:t xml:space="preserve">external contract – Attendance 100 </w:t>
            </w:r>
          </w:p>
          <w:p w14:paraId="4AEFB496" w14:textId="77777777" w:rsidR="000C111E" w:rsidRDefault="008C5FB7">
            <w:pPr>
              <w:numPr>
                <w:ilvl w:val="0"/>
                <w:numId w:val="5"/>
              </w:numPr>
              <w:spacing w:after="46" w:line="239" w:lineRule="auto"/>
              <w:ind w:hanging="360"/>
            </w:pPr>
            <w:r>
              <w:t xml:space="preserve">Parental Contracts, LA monitoring for Persistent Absence </w:t>
            </w:r>
          </w:p>
          <w:p w14:paraId="68EFB808" w14:textId="77777777" w:rsidR="000C111E" w:rsidRDefault="008C5FB7">
            <w:pPr>
              <w:numPr>
                <w:ilvl w:val="0"/>
                <w:numId w:val="5"/>
              </w:numPr>
              <w:spacing w:after="0" w:line="240" w:lineRule="auto"/>
              <w:ind w:hanging="360"/>
            </w:pPr>
            <w:r>
              <w:t xml:space="preserve">Industry Partner involvement to support attendance </w:t>
            </w:r>
          </w:p>
          <w:p w14:paraId="4F73E711" w14:textId="77777777" w:rsidR="000C111E" w:rsidRDefault="008C5FB7">
            <w:pPr>
              <w:spacing w:after="0"/>
              <w:ind w:left="722"/>
            </w:pPr>
            <w:r>
              <w:t xml:space="preserve"> 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610D" w14:textId="77777777" w:rsidR="000C111E" w:rsidRDefault="008C5FB7">
            <w:pPr>
              <w:spacing w:after="0" w:line="239" w:lineRule="auto"/>
            </w:pPr>
            <w:r>
              <w:t xml:space="preserve">UTC attendance increases, groups such as PP attendance increases </w:t>
            </w:r>
          </w:p>
          <w:p w14:paraId="07BBFC74" w14:textId="77777777" w:rsidR="000C111E" w:rsidRDefault="008C5FB7">
            <w:pPr>
              <w:spacing w:after="0"/>
            </w:pPr>
            <w:r>
              <w:t xml:space="preserve">  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0A19E" w14:textId="77777777" w:rsidR="000C111E" w:rsidRDefault="008C5FB7">
            <w:pPr>
              <w:spacing w:after="0"/>
              <w:ind w:left="2" w:right="1088"/>
            </w:pPr>
            <w:r>
              <w:t xml:space="preserve">Pastoral Staff SLT  </w:t>
            </w:r>
          </w:p>
        </w:tc>
      </w:tr>
      <w:tr w:rsidR="000C111E" w14:paraId="6C04D2DB" w14:textId="77777777">
        <w:trPr>
          <w:trHeight w:val="36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17EE" w14:textId="77777777" w:rsidR="000C111E" w:rsidRDefault="000C111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D3B1" w14:textId="77777777" w:rsidR="000C111E" w:rsidRDefault="000C111E"/>
        </w:tc>
        <w:tc>
          <w:tcPr>
            <w:tcW w:w="9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F6ED2B1" w14:textId="77777777" w:rsidR="000C111E" w:rsidRDefault="008C5FB7">
            <w:pPr>
              <w:spacing w:after="34" w:line="239" w:lineRule="auto"/>
              <w:ind w:left="2" w:right="6810"/>
            </w:pPr>
            <w:r>
              <w:rPr>
                <w:b/>
                <w:u w:val="single" w:color="000000"/>
              </w:rPr>
              <w:t>Progress Commentary</w:t>
            </w:r>
            <w:r>
              <w:rPr>
                <w:b/>
              </w:rPr>
              <w:t xml:space="preserve"> </w:t>
            </w:r>
            <w:r>
              <w:t xml:space="preserve">As of December 2018: </w:t>
            </w:r>
          </w:p>
          <w:p w14:paraId="49959C47" w14:textId="77777777" w:rsidR="000C111E" w:rsidRDefault="008C5FB7">
            <w:pPr>
              <w:numPr>
                <w:ilvl w:val="0"/>
                <w:numId w:val="6"/>
              </w:numPr>
              <w:spacing w:after="12"/>
              <w:ind w:right="2073"/>
            </w:pPr>
            <w:r>
              <w:t xml:space="preserve">Attendance 100 contract in place and active </w:t>
            </w:r>
          </w:p>
          <w:p w14:paraId="0B9930AE" w14:textId="77777777" w:rsidR="000C111E" w:rsidRDefault="008C5FB7">
            <w:pPr>
              <w:numPr>
                <w:ilvl w:val="0"/>
                <w:numId w:val="6"/>
              </w:numPr>
              <w:spacing w:after="0" w:line="269" w:lineRule="auto"/>
              <w:ind w:right="2073"/>
            </w:pPr>
            <w:r>
              <w:t>Pastoral lead capacity built to tackle problem 3)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Early evidence of positive impact </w:t>
            </w:r>
          </w:p>
          <w:p w14:paraId="0EED315F" w14:textId="77777777" w:rsidR="000C111E" w:rsidRDefault="008C5FB7">
            <w:pPr>
              <w:spacing w:after="0"/>
              <w:ind w:left="2"/>
            </w:pPr>
            <w:r>
              <w:t xml:space="preserve"> </w:t>
            </w:r>
          </w:p>
          <w:p w14:paraId="3C8BB8CB" w14:textId="77777777" w:rsidR="000C111E" w:rsidRDefault="008C5FB7">
            <w:pPr>
              <w:spacing w:after="0"/>
              <w:ind w:left="2"/>
            </w:pPr>
            <w:r>
              <w:rPr>
                <w:b/>
              </w:rPr>
              <w:t xml:space="preserve">March 2020 </w:t>
            </w:r>
          </w:p>
          <w:p w14:paraId="573D0ED3" w14:textId="77777777" w:rsidR="000C111E" w:rsidRDefault="008C5FB7">
            <w:pPr>
              <w:spacing w:after="0" w:line="239" w:lineRule="auto"/>
              <w:ind w:left="2"/>
            </w:pPr>
            <w:r>
              <w:t xml:space="preserve">More than 2% increase for students from previous school. However some students still struggling to reach attendance expectations </w:t>
            </w:r>
          </w:p>
          <w:p w14:paraId="5C6E8EA4" w14:textId="77777777" w:rsidR="000C111E" w:rsidRDefault="008C5FB7">
            <w:pPr>
              <w:spacing w:after="0"/>
              <w:ind w:left="2"/>
            </w:pPr>
            <w:r>
              <w:t xml:space="preserve"> </w:t>
            </w:r>
          </w:p>
          <w:p w14:paraId="18630930" w14:textId="77777777" w:rsidR="000C111E" w:rsidRDefault="008C5FB7">
            <w:pPr>
              <w:spacing w:after="0" w:line="239" w:lineRule="auto"/>
              <w:ind w:left="2"/>
            </w:pPr>
            <w:r>
              <w:t xml:space="preserve">Use of a range of challenge and reward and significant investment in intervention to drive up attendance </w:t>
            </w:r>
          </w:p>
          <w:p w14:paraId="2A644796" w14:textId="77777777" w:rsidR="008C5FB7" w:rsidRDefault="008C5FB7">
            <w:pPr>
              <w:spacing w:after="0" w:line="239" w:lineRule="auto"/>
              <w:ind w:left="2"/>
            </w:pPr>
          </w:p>
          <w:p w14:paraId="641B1477" w14:textId="77777777" w:rsidR="008C5FB7" w:rsidRDefault="008C5FB7">
            <w:pPr>
              <w:spacing w:after="0" w:line="239" w:lineRule="auto"/>
              <w:ind w:left="2"/>
              <w:rPr>
                <w:b/>
              </w:rPr>
            </w:pPr>
            <w:r w:rsidRPr="008C5FB7">
              <w:rPr>
                <w:b/>
              </w:rPr>
              <w:t>March 2021</w:t>
            </w:r>
          </w:p>
          <w:p w14:paraId="7DED044D" w14:textId="77777777" w:rsidR="008C5FB7" w:rsidRPr="008C5FB7" w:rsidRDefault="008C5FB7" w:rsidP="008C5FB7">
            <w:pPr>
              <w:pStyle w:val="ListParagraph"/>
              <w:numPr>
                <w:ilvl w:val="0"/>
                <w:numId w:val="9"/>
              </w:numPr>
              <w:spacing w:after="0" w:line="239" w:lineRule="auto"/>
            </w:pPr>
            <w:r w:rsidRPr="008C5FB7">
              <w:t>Attendance still a risk at the UTC with some poor attenders or school refusers. Range of</w:t>
            </w:r>
            <w:r>
              <w:t xml:space="preserve"> </w:t>
            </w:r>
            <w:r w:rsidRPr="008C5FB7">
              <w:t>support and challenge strategies used. Additional T</w:t>
            </w:r>
            <w:r>
              <w:t xml:space="preserve">eaching </w:t>
            </w:r>
            <w:r w:rsidRPr="008C5FB7">
              <w:t>S</w:t>
            </w:r>
            <w:r>
              <w:t>chool</w:t>
            </w:r>
            <w:r w:rsidRPr="008C5FB7">
              <w:t xml:space="preserve"> support in this area being implemented March 2021</w:t>
            </w:r>
            <w:r>
              <w:t>. Clear evidence that even poor attending students have improve their attendance % since their last school. Key School Improvement focus area for next academic year following COVID</w:t>
            </w:r>
          </w:p>
          <w:p w14:paraId="08CAED78" w14:textId="77777777" w:rsidR="000C111E" w:rsidRDefault="008C5FB7">
            <w:pPr>
              <w:spacing w:after="0"/>
              <w:ind w:left="2"/>
            </w:pPr>
            <w:r>
              <w:t xml:space="preserve"> </w:t>
            </w:r>
            <w:r>
              <w:t xml:space="preserve"> </w:t>
            </w:r>
          </w:p>
        </w:tc>
      </w:tr>
    </w:tbl>
    <w:p w14:paraId="101A1997" w14:textId="77777777" w:rsidR="000C111E" w:rsidRDefault="008C5FB7">
      <w:pPr>
        <w:spacing w:after="0"/>
        <w:jc w:val="right"/>
      </w:pPr>
      <w:r>
        <w:t xml:space="preserve"> </w:t>
      </w:r>
    </w:p>
    <w:tbl>
      <w:tblPr>
        <w:tblStyle w:val="TableGrid"/>
        <w:tblW w:w="15676" w:type="dxa"/>
        <w:tblInd w:w="19" w:type="dxa"/>
        <w:tblCellMar>
          <w:top w:w="154" w:type="dxa"/>
          <w:left w:w="0" w:type="dxa"/>
          <w:bottom w:w="241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3346"/>
        <w:gridCol w:w="814"/>
        <w:gridCol w:w="2772"/>
        <w:gridCol w:w="3135"/>
        <w:gridCol w:w="3134"/>
      </w:tblGrid>
      <w:tr w:rsidR="000C111E" w14:paraId="799C704E" w14:textId="77777777">
        <w:trPr>
          <w:trHeight w:val="2233"/>
        </w:trPr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47D69" w14:textId="77777777" w:rsidR="000C111E" w:rsidRDefault="008C5FB7">
            <w:pPr>
              <w:spacing w:after="0"/>
              <w:ind w:left="9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85C10E4" w14:textId="77777777" w:rsidR="000C111E" w:rsidRDefault="008C5FB7">
            <w:pPr>
              <w:spacing w:after="0" w:line="239" w:lineRule="auto"/>
              <w:ind w:left="94" w:right="328"/>
            </w:pPr>
            <w:r>
              <w:rPr>
                <w:b/>
              </w:rPr>
              <w:t xml:space="preserve">Foster good relations between </w:t>
            </w:r>
            <w:r>
              <w:t xml:space="preserve"> </w:t>
            </w:r>
            <w:r>
              <w:rPr>
                <w:b/>
              </w:rPr>
              <w:t xml:space="preserve">different groups </w:t>
            </w:r>
            <w:r>
              <w:t xml:space="preserve"> </w:t>
            </w:r>
          </w:p>
          <w:p w14:paraId="0F00DC50" w14:textId="77777777" w:rsidR="000C111E" w:rsidRDefault="008C5FB7">
            <w:pPr>
              <w:spacing w:after="0"/>
              <w:ind w:left="9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F10A89A" w14:textId="77777777" w:rsidR="000C111E" w:rsidRDefault="008C5FB7">
            <w:pPr>
              <w:spacing w:after="0"/>
              <w:ind w:left="9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D20F6FC" w14:textId="77777777" w:rsidR="000C111E" w:rsidRDefault="008C5FB7">
            <w:pPr>
              <w:spacing w:after="0"/>
              <w:ind w:left="9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FEF9F" w14:textId="77777777" w:rsidR="000C111E" w:rsidRDefault="008C5FB7">
            <w:pPr>
              <w:spacing w:after="0" w:line="240" w:lineRule="auto"/>
              <w:ind w:left="96" w:right="107"/>
            </w:pPr>
            <w:r>
              <w:t xml:space="preserve">3) To promote cultural understanding between  different ethnic groups within our </w:t>
            </w:r>
          </w:p>
          <w:p w14:paraId="4C888AF1" w14:textId="77777777" w:rsidR="000C111E" w:rsidRDefault="008C5FB7">
            <w:pPr>
              <w:spacing w:after="0"/>
              <w:ind w:left="96"/>
            </w:pPr>
            <w:r>
              <w:t xml:space="preserve">community  </w:t>
            </w:r>
          </w:p>
          <w:p w14:paraId="2D4713C6" w14:textId="77777777" w:rsidR="000C111E" w:rsidRDefault="008C5FB7">
            <w:pPr>
              <w:spacing w:after="0"/>
              <w:ind w:left="96"/>
            </w:pPr>
            <w:r>
              <w:t xml:space="preserve">  </w:t>
            </w:r>
          </w:p>
          <w:p w14:paraId="1ACE4CB4" w14:textId="77777777" w:rsidR="000C111E" w:rsidRDefault="008C5FB7">
            <w:pPr>
              <w:spacing w:after="0"/>
              <w:ind w:left="96"/>
            </w:pPr>
            <w:r>
              <w:t xml:space="preserve">  </w:t>
            </w:r>
          </w:p>
          <w:p w14:paraId="77614A96" w14:textId="77777777" w:rsidR="000C111E" w:rsidRDefault="008C5FB7">
            <w:pPr>
              <w:spacing w:after="0"/>
              <w:ind w:left="96"/>
            </w:pPr>
            <w:r>
              <w:t xml:space="preserve"> 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75B58" w14:textId="77777777" w:rsidR="000C111E" w:rsidRDefault="008C5FB7">
            <w:pPr>
              <w:spacing w:after="531"/>
              <w:ind w:left="31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7FF82CBC" w14:textId="77777777" w:rsidR="000C111E" w:rsidRDefault="008C5FB7">
            <w:pPr>
              <w:spacing w:after="0"/>
              <w:ind w:left="31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ED92C78" w14:textId="77777777" w:rsidR="000C111E" w:rsidRDefault="008C5FB7">
            <w:pPr>
              <w:spacing w:after="0"/>
              <w:ind w:left="31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1C8BE152" w14:textId="77777777" w:rsidR="000C111E" w:rsidRDefault="008C5FB7">
            <w:pPr>
              <w:spacing w:after="0" w:line="239" w:lineRule="auto"/>
            </w:pPr>
            <w:r>
              <w:t xml:space="preserve">Personal Development curriculum focus on British </w:t>
            </w:r>
          </w:p>
          <w:p w14:paraId="3D4FC5A8" w14:textId="77777777" w:rsidR="000C111E" w:rsidRDefault="008C5FB7">
            <w:pPr>
              <w:spacing w:after="0"/>
            </w:pPr>
            <w:r>
              <w:t xml:space="preserve">Values </w:t>
            </w:r>
          </w:p>
          <w:p w14:paraId="385E80B8" w14:textId="77777777" w:rsidR="000C111E" w:rsidRDefault="008C5FB7">
            <w:pPr>
              <w:spacing w:after="0"/>
            </w:pPr>
            <w:r>
              <w:t xml:space="preserve">Culture and ethos of the UTC Use of digital signage to celebrate other cultures 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7CDFA6" w14:textId="77777777" w:rsidR="000C111E" w:rsidRDefault="008C5FB7">
            <w:pPr>
              <w:spacing w:after="0"/>
              <w:ind w:left="94"/>
            </w:pPr>
            <w:r>
              <w:t xml:space="preserve">DfE monitoring visit </w:t>
            </w:r>
          </w:p>
          <w:p w14:paraId="7D9C9DBF" w14:textId="77777777" w:rsidR="000C111E" w:rsidRDefault="008C5FB7">
            <w:pPr>
              <w:spacing w:after="0"/>
              <w:ind w:left="94"/>
            </w:pPr>
            <w:r>
              <w:t xml:space="preserve">No incidents of related bullying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9C4C" w14:textId="77777777" w:rsidR="000C111E" w:rsidRDefault="008C5FB7">
            <w:pPr>
              <w:spacing w:after="0"/>
              <w:ind w:left="94"/>
            </w:pPr>
            <w:r>
              <w:t xml:space="preserve">Pastoral Staff </w:t>
            </w:r>
          </w:p>
          <w:p w14:paraId="07E50FD1" w14:textId="77777777" w:rsidR="000C111E" w:rsidRDefault="008C5FB7">
            <w:pPr>
              <w:spacing w:after="0"/>
              <w:ind w:left="94"/>
            </w:pPr>
            <w:r>
              <w:t xml:space="preserve">Admin staff - signage  </w:t>
            </w:r>
          </w:p>
        </w:tc>
      </w:tr>
    </w:tbl>
    <w:p w14:paraId="018D6710" w14:textId="77777777" w:rsidR="000C111E" w:rsidRDefault="008C5FB7">
      <w:pPr>
        <w:spacing w:after="0"/>
        <w:ind w:left="59"/>
        <w:jc w:val="center"/>
      </w:pPr>
      <w:r>
        <w:rPr>
          <w:b/>
          <w:color w:val="002060"/>
        </w:rPr>
        <w:t xml:space="preserve">North East Futures UTC part of Tyne Coast Academy Trust 08313162 </w:t>
      </w:r>
    </w:p>
    <w:tbl>
      <w:tblPr>
        <w:tblStyle w:val="TableGrid"/>
        <w:tblW w:w="15676" w:type="dxa"/>
        <w:tblInd w:w="19" w:type="dxa"/>
        <w:tblCellMar>
          <w:top w:w="154" w:type="dxa"/>
          <w:left w:w="94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3346"/>
        <w:gridCol w:w="9855"/>
      </w:tblGrid>
      <w:tr w:rsidR="000C111E" w14:paraId="3C70F7C2" w14:textId="77777777">
        <w:trPr>
          <w:trHeight w:val="2804"/>
        </w:trPr>
        <w:tc>
          <w:tcPr>
            <w:tcW w:w="24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74B4" w14:textId="77777777" w:rsidR="000C111E" w:rsidRDefault="008C5FB7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104F775" w14:textId="77777777" w:rsidR="000C111E" w:rsidRDefault="008C5FB7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6960F38" w14:textId="77777777" w:rsidR="000C111E" w:rsidRDefault="008C5FB7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55D2B304" w14:textId="77777777" w:rsidR="000C111E" w:rsidRDefault="008C5FB7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0F2A968B" w14:textId="77777777" w:rsidR="000C111E" w:rsidRDefault="008C5FB7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E1029" w14:textId="77777777" w:rsidR="000C111E" w:rsidRDefault="008C5FB7">
            <w:pPr>
              <w:spacing w:after="0"/>
              <w:ind w:left="2"/>
            </w:pPr>
            <w:r>
              <w:t xml:space="preserve">  </w:t>
            </w:r>
          </w:p>
        </w:tc>
        <w:tc>
          <w:tcPr>
            <w:tcW w:w="9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1EE18B" w14:textId="77777777" w:rsidR="000C111E" w:rsidRDefault="008C5FB7">
            <w:pPr>
              <w:spacing w:after="31" w:line="240" w:lineRule="auto"/>
              <w:ind w:right="7362"/>
            </w:pPr>
            <w:r>
              <w:rPr>
                <w:b/>
                <w:u w:val="single" w:color="000000"/>
              </w:rPr>
              <w:t>Progress Commentary</w:t>
            </w:r>
            <w:r>
              <w:rPr>
                <w:b/>
              </w:rPr>
              <w:t xml:space="preserve"> </w:t>
            </w:r>
            <w:r>
              <w:t xml:space="preserve">As of December 2018: </w:t>
            </w:r>
          </w:p>
          <w:p w14:paraId="7CBF53A8" w14:textId="77777777" w:rsidR="000C111E" w:rsidRDefault="008C5FB7">
            <w:pPr>
              <w:numPr>
                <w:ilvl w:val="0"/>
                <w:numId w:val="7"/>
              </w:numPr>
              <w:spacing w:after="12"/>
              <w:ind w:hanging="360"/>
            </w:pPr>
            <w:r>
              <w:t xml:space="preserve">Personal development curriculum ratified by DfE during ROM and OFSTED pre-inspection </w:t>
            </w:r>
          </w:p>
          <w:p w14:paraId="52F93CC8" w14:textId="77777777" w:rsidR="000C111E" w:rsidRDefault="008C5FB7">
            <w:pPr>
              <w:numPr>
                <w:ilvl w:val="0"/>
                <w:numId w:val="7"/>
              </w:numPr>
              <w:spacing w:after="0"/>
              <w:ind w:hanging="360"/>
            </w:pPr>
            <w:r>
              <w:t xml:space="preserve">Evidence from DfE review that positive ethos and culture has been established </w:t>
            </w:r>
          </w:p>
          <w:p w14:paraId="3E9D9C19" w14:textId="77777777" w:rsidR="000C111E" w:rsidRDefault="008C5FB7">
            <w:pPr>
              <w:spacing w:after="0"/>
            </w:pPr>
            <w:r>
              <w:t xml:space="preserve"> </w:t>
            </w:r>
          </w:p>
          <w:p w14:paraId="3F7A43F3" w14:textId="77777777" w:rsidR="000C111E" w:rsidRDefault="008C5FB7">
            <w:pPr>
              <w:spacing w:after="0"/>
            </w:pPr>
            <w:r>
              <w:rPr>
                <w:b/>
              </w:rPr>
              <w:t xml:space="preserve">March 2020 </w:t>
            </w:r>
          </w:p>
          <w:p w14:paraId="508D8516" w14:textId="77777777" w:rsidR="000C111E" w:rsidRDefault="008C5FB7">
            <w:pPr>
              <w:spacing w:after="0"/>
            </w:pPr>
            <w:r>
              <w:t>PD run with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 xml:space="preserve">form as well with drop down days and planned as weekly session from September </w:t>
            </w:r>
          </w:p>
          <w:p w14:paraId="60378597" w14:textId="77777777" w:rsidR="000C111E" w:rsidRDefault="008C5FB7">
            <w:pPr>
              <w:spacing w:after="0"/>
            </w:pPr>
            <w:r>
              <w:t xml:space="preserve"> </w:t>
            </w:r>
          </w:p>
          <w:p w14:paraId="4D0CE193" w14:textId="77777777" w:rsidR="000C111E" w:rsidRDefault="008C5FB7">
            <w:pPr>
              <w:spacing w:after="0"/>
            </w:pPr>
            <w:r>
              <w:t xml:space="preserve">Positive fback from DfE reviews </w:t>
            </w:r>
          </w:p>
          <w:p w14:paraId="02369794" w14:textId="77777777" w:rsidR="000C111E" w:rsidRDefault="000C111E" w:rsidP="008C5FB7">
            <w:pPr>
              <w:spacing w:after="0"/>
            </w:pPr>
          </w:p>
          <w:p w14:paraId="0361ADB6" w14:textId="77777777" w:rsidR="008C5FB7" w:rsidRDefault="008C5FB7" w:rsidP="008C5FB7">
            <w:pPr>
              <w:spacing w:after="0"/>
              <w:rPr>
                <w:b/>
              </w:rPr>
            </w:pPr>
            <w:r w:rsidRPr="008C5FB7">
              <w:rPr>
                <w:b/>
              </w:rPr>
              <w:t>March 2021</w:t>
            </w:r>
          </w:p>
          <w:p w14:paraId="5551C149" w14:textId="77777777" w:rsidR="008C5FB7" w:rsidRPr="008C5FB7" w:rsidRDefault="008C5FB7" w:rsidP="008C5FB7">
            <w:pPr>
              <w:spacing w:after="0"/>
            </w:pPr>
            <w:r>
              <w:t>Personal Development continues to be a strength of the UTC as evidenced by ‘mock’ OFSTED Dec 2020, PD Curriculum</w:t>
            </w:r>
            <w:bookmarkStart w:id="0" w:name="_GoBack"/>
            <w:bookmarkEnd w:id="0"/>
            <w:r>
              <w:t xml:space="preserve"> Plan developed and summary available on website</w:t>
            </w:r>
          </w:p>
        </w:tc>
      </w:tr>
    </w:tbl>
    <w:p w14:paraId="54DDADC2" w14:textId="77777777" w:rsidR="000C111E" w:rsidRDefault="008C5FB7">
      <w:pPr>
        <w:spacing w:after="0"/>
        <w:jc w:val="both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sectPr w:rsidR="000C111E">
      <w:pgSz w:w="16860" w:h="11921" w:orient="landscape"/>
      <w:pgMar w:top="763" w:right="476" w:bottom="71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B2D"/>
    <w:multiLevelType w:val="hybridMultilevel"/>
    <w:tmpl w:val="D94E3C88"/>
    <w:lvl w:ilvl="0" w:tplc="AF6A1006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38D63E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D2E5C8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47F68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FE6624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4F162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29E26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A06CA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63302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E5068"/>
    <w:multiLevelType w:val="hybridMultilevel"/>
    <w:tmpl w:val="BAF01E7E"/>
    <w:lvl w:ilvl="0" w:tplc="083C4DA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12266A37"/>
    <w:multiLevelType w:val="hybridMultilevel"/>
    <w:tmpl w:val="2E7A80D8"/>
    <w:lvl w:ilvl="0" w:tplc="7E449A0A">
      <w:start w:val="1"/>
      <w:numFmt w:val="decimal"/>
      <w:lvlText w:val="%1)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A943C">
      <w:start w:val="1"/>
      <w:numFmt w:val="lowerLetter"/>
      <w:lvlText w:val="%2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6BA14">
      <w:start w:val="1"/>
      <w:numFmt w:val="lowerRoman"/>
      <w:lvlText w:val="%3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9275E8">
      <w:start w:val="1"/>
      <w:numFmt w:val="decimal"/>
      <w:lvlText w:val="%4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E66BE">
      <w:start w:val="1"/>
      <w:numFmt w:val="lowerLetter"/>
      <w:lvlText w:val="%5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A9442">
      <w:start w:val="1"/>
      <w:numFmt w:val="lowerRoman"/>
      <w:lvlText w:val="%6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82F12">
      <w:start w:val="1"/>
      <w:numFmt w:val="decimal"/>
      <w:lvlText w:val="%7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6E934">
      <w:start w:val="1"/>
      <w:numFmt w:val="lowerLetter"/>
      <w:lvlText w:val="%8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109938">
      <w:start w:val="1"/>
      <w:numFmt w:val="lowerRoman"/>
      <w:lvlText w:val="%9"/>
      <w:lvlJc w:val="left"/>
      <w:pPr>
        <w:ind w:left="6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B32B8B"/>
    <w:multiLevelType w:val="hybridMultilevel"/>
    <w:tmpl w:val="259E6296"/>
    <w:lvl w:ilvl="0" w:tplc="7FEC1BA0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37283841"/>
    <w:multiLevelType w:val="hybridMultilevel"/>
    <w:tmpl w:val="B0949A1E"/>
    <w:lvl w:ilvl="0" w:tplc="1CD6956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008C52">
      <w:start w:val="1"/>
      <w:numFmt w:val="lowerLetter"/>
      <w:lvlText w:val="%2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6935A">
      <w:start w:val="1"/>
      <w:numFmt w:val="lowerRoman"/>
      <w:lvlText w:val="%3"/>
      <w:lvlJc w:val="left"/>
      <w:pPr>
        <w:ind w:left="2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727F9E">
      <w:start w:val="1"/>
      <w:numFmt w:val="decimal"/>
      <w:lvlText w:val="%4"/>
      <w:lvlJc w:val="left"/>
      <w:pPr>
        <w:ind w:left="2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22328">
      <w:start w:val="1"/>
      <w:numFmt w:val="lowerLetter"/>
      <w:lvlText w:val="%5"/>
      <w:lvlJc w:val="left"/>
      <w:pPr>
        <w:ind w:left="3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AE5AA">
      <w:start w:val="1"/>
      <w:numFmt w:val="lowerRoman"/>
      <w:lvlText w:val="%6"/>
      <w:lvlJc w:val="left"/>
      <w:pPr>
        <w:ind w:left="4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808E5C">
      <w:start w:val="1"/>
      <w:numFmt w:val="decimal"/>
      <w:lvlText w:val="%7"/>
      <w:lvlJc w:val="left"/>
      <w:pPr>
        <w:ind w:left="5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E6752">
      <w:start w:val="1"/>
      <w:numFmt w:val="lowerLetter"/>
      <w:lvlText w:val="%8"/>
      <w:lvlJc w:val="left"/>
      <w:pPr>
        <w:ind w:left="5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A15B8">
      <w:start w:val="1"/>
      <w:numFmt w:val="lowerRoman"/>
      <w:lvlText w:val="%9"/>
      <w:lvlJc w:val="left"/>
      <w:pPr>
        <w:ind w:left="6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4B7491"/>
    <w:multiLevelType w:val="hybridMultilevel"/>
    <w:tmpl w:val="672681C4"/>
    <w:lvl w:ilvl="0" w:tplc="DF34820C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24EA6">
      <w:start w:val="1"/>
      <w:numFmt w:val="lowerLetter"/>
      <w:lvlText w:val="%2"/>
      <w:lvlJc w:val="left"/>
      <w:pPr>
        <w:ind w:left="1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63598">
      <w:start w:val="1"/>
      <w:numFmt w:val="lowerRoman"/>
      <w:lvlText w:val="%3"/>
      <w:lvlJc w:val="left"/>
      <w:pPr>
        <w:ind w:left="2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005F8">
      <w:start w:val="1"/>
      <w:numFmt w:val="decimal"/>
      <w:lvlText w:val="%4"/>
      <w:lvlJc w:val="left"/>
      <w:pPr>
        <w:ind w:left="2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26640">
      <w:start w:val="1"/>
      <w:numFmt w:val="lowerLetter"/>
      <w:lvlText w:val="%5"/>
      <w:lvlJc w:val="left"/>
      <w:pPr>
        <w:ind w:left="3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121412">
      <w:start w:val="1"/>
      <w:numFmt w:val="lowerRoman"/>
      <w:lvlText w:val="%6"/>
      <w:lvlJc w:val="left"/>
      <w:pPr>
        <w:ind w:left="4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C9A7C">
      <w:start w:val="1"/>
      <w:numFmt w:val="decimal"/>
      <w:lvlText w:val="%7"/>
      <w:lvlJc w:val="left"/>
      <w:pPr>
        <w:ind w:left="5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28DE4">
      <w:start w:val="1"/>
      <w:numFmt w:val="lowerLetter"/>
      <w:lvlText w:val="%8"/>
      <w:lvlJc w:val="left"/>
      <w:pPr>
        <w:ind w:left="5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471FA">
      <w:start w:val="1"/>
      <w:numFmt w:val="lowerRoman"/>
      <w:lvlText w:val="%9"/>
      <w:lvlJc w:val="left"/>
      <w:pPr>
        <w:ind w:left="6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140B7"/>
    <w:multiLevelType w:val="hybridMultilevel"/>
    <w:tmpl w:val="CED8C746"/>
    <w:lvl w:ilvl="0" w:tplc="54F6D1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6E2AA4">
      <w:start w:val="1"/>
      <w:numFmt w:val="bullet"/>
      <w:lvlText w:val="o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E2AA0">
      <w:start w:val="1"/>
      <w:numFmt w:val="bullet"/>
      <w:lvlText w:val="▪"/>
      <w:lvlJc w:val="left"/>
      <w:pPr>
        <w:ind w:left="2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AEDA1C">
      <w:start w:val="1"/>
      <w:numFmt w:val="bullet"/>
      <w:lvlText w:val="•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E0CCD0">
      <w:start w:val="1"/>
      <w:numFmt w:val="bullet"/>
      <w:lvlText w:val="o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4EB4B4">
      <w:start w:val="1"/>
      <w:numFmt w:val="bullet"/>
      <w:lvlText w:val="▪"/>
      <w:lvlJc w:val="left"/>
      <w:pPr>
        <w:ind w:left="4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E37F6">
      <w:start w:val="1"/>
      <w:numFmt w:val="bullet"/>
      <w:lvlText w:val="•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643C4">
      <w:start w:val="1"/>
      <w:numFmt w:val="bullet"/>
      <w:lvlText w:val="o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AC4CA2">
      <w:start w:val="1"/>
      <w:numFmt w:val="bullet"/>
      <w:lvlText w:val="▪"/>
      <w:lvlJc w:val="left"/>
      <w:pPr>
        <w:ind w:left="6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205057"/>
    <w:multiLevelType w:val="hybridMultilevel"/>
    <w:tmpl w:val="CEDEBACC"/>
    <w:lvl w:ilvl="0" w:tplc="CE5C45E0">
      <w:start w:val="1"/>
      <w:numFmt w:val="decimal"/>
      <w:lvlText w:val="%1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5C6F8C">
      <w:start w:val="1"/>
      <w:numFmt w:val="lowerLetter"/>
      <w:lvlText w:val="%2"/>
      <w:lvlJc w:val="left"/>
      <w:pPr>
        <w:ind w:left="1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CC431C">
      <w:start w:val="1"/>
      <w:numFmt w:val="lowerRoman"/>
      <w:lvlText w:val="%3"/>
      <w:lvlJc w:val="left"/>
      <w:pPr>
        <w:ind w:left="2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D079AA">
      <w:start w:val="1"/>
      <w:numFmt w:val="decimal"/>
      <w:lvlText w:val="%4"/>
      <w:lvlJc w:val="left"/>
      <w:pPr>
        <w:ind w:left="2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C2CA">
      <w:start w:val="1"/>
      <w:numFmt w:val="lowerLetter"/>
      <w:lvlText w:val="%5"/>
      <w:lvlJc w:val="left"/>
      <w:pPr>
        <w:ind w:left="3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E27E8E">
      <w:start w:val="1"/>
      <w:numFmt w:val="lowerRoman"/>
      <w:lvlText w:val="%6"/>
      <w:lvlJc w:val="left"/>
      <w:pPr>
        <w:ind w:left="4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86BD8">
      <w:start w:val="1"/>
      <w:numFmt w:val="decimal"/>
      <w:lvlText w:val="%7"/>
      <w:lvlJc w:val="left"/>
      <w:pPr>
        <w:ind w:left="5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C975A">
      <w:start w:val="1"/>
      <w:numFmt w:val="lowerLetter"/>
      <w:lvlText w:val="%8"/>
      <w:lvlJc w:val="left"/>
      <w:pPr>
        <w:ind w:left="5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D45DFC">
      <w:start w:val="1"/>
      <w:numFmt w:val="lowerRoman"/>
      <w:lvlText w:val="%9"/>
      <w:lvlJc w:val="left"/>
      <w:pPr>
        <w:ind w:left="6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E27004"/>
    <w:multiLevelType w:val="hybridMultilevel"/>
    <w:tmpl w:val="516AE844"/>
    <w:lvl w:ilvl="0" w:tplc="1976146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04F98">
      <w:start w:val="1"/>
      <w:numFmt w:val="bullet"/>
      <w:lvlText w:val="o"/>
      <w:lvlJc w:val="left"/>
      <w:pPr>
        <w:ind w:left="1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8D6F0">
      <w:start w:val="1"/>
      <w:numFmt w:val="bullet"/>
      <w:lvlText w:val="▪"/>
      <w:lvlJc w:val="left"/>
      <w:pPr>
        <w:ind w:left="2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063444">
      <w:start w:val="1"/>
      <w:numFmt w:val="bullet"/>
      <w:lvlText w:val="•"/>
      <w:lvlJc w:val="left"/>
      <w:pPr>
        <w:ind w:left="2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4693E">
      <w:start w:val="1"/>
      <w:numFmt w:val="bullet"/>
      <w:lvlText w:val="o"/>
      <w:lvlJc w:val="left"/>
      <w:pPr>
        <w:ind w:left="3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6B2FE">
      <w:start w:val="1"/>
      <w:numFmt w:val="bullet"/>
      <w:lvlText w:val="▪"/>
      <w:lvlJc w:val="left"/>
      <w:pPr>
        <w:ind w:left="4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24164">
      <w:start w:val="1"/>
      <w:numFmt w:val="bullet"/>
      <w:lvlText w:val="•"/>
      <w:lvlJc w:val="left"/>
      <w:pPr>
        <w:ind w:left="5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ACC36">
      <w:start w:val="1"/>
      <w:numFmt w:val="bullet"/>
      <w:lvlText w:val="o"/>
      <w:lvlJc w:val="left"/>
      <w:pPr>
        <w:ind w:left="5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61622">
      <w:start w:val="1"/>
      <w:numFmt w:val="bullet"/>
      <w:lvlText w:val="▪"/>
      <w:lvlJc w:val="left"/>
      <w:pPr>
        <w:ind w:left="6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1E"/>
    <w:rsid w:val="000C111E"/>
    <w:rsid w:val="008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321A"/>
  <w15:docId w15:val="{4A0517DA-0FE2-4653-8DF9-E3B13A00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C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FD3DE09F78248BF22E1F247F42C5D" ma:contentTypeVersion="41" ma:contentTypeDescription="Create a new document." ma:contentTypeScope="" ma:versionID="04b311a3c2c1f7ebeaa679e599d5a713">
  <xsd:schema xmlns:xsd="http://www.w3.org/2001/XMLSchema" xmlns:xs="http://www.w3.org/2001/XMLSchema" xmlns:p="http://schemas.microsoft.com/office/2006/metadata/properties" xmlns:ns1="http://schemas.microsoft.com/sharepoint/v3" xmlns:ns3="23ddaa57-f7fc-41b1-a2e8-421dcba305e9" xmlns:ns4="5fad9ae9-ba6c-40d1-b144-25bb19b9f2d1" targetNamespace="http://schemas.microsoft.com/office/2006/metadata/properties" ma:root="true" ma:fieldsID="15a0a64992229fbe766eac28b5ff511f" ns1:_="" ns3:_="" ns4:_="">
    <xsd:import namespace="http://schemas.microsoft.com/sharepoint/v3"/>
    <xsd:import namespace="23ddaa57-f7fc-41b1-a2e8-421dcba305e9"/>
    <xsd:import namespace="5fad9ae9-ba6c-40d1-b144-25bb19b9f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1:_ip_UnifiedCompliancePolicyProperties" minOccurs="0"/>
                <xsd:element ref="ns1:_ip_UnifiedCompliancePolicyUIAc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aa57-f7fc-41b1-a2e8-421dcba305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d9ae9-ba6c-40d1-b144-25bb19b9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fad9ae9-ba6c-40d1-b144-25bb19b9f2d1" xsi:nil="true"/>
    <_ip_UnifiedCompliancePolicyUIAction xmlns="http://schemas.microsoft.com/sharepoint/v3" xsi:nil="true"/>
    <Owner xmlns="5fad9ae9-ba6c-40d1-b144-25bb19b9f2d1">
      <UserInfo>
        <DisplayName/>
        <AccountId xsi:nil="true"/>
        <AccountType/>
      </UserInfo>
    </Owner>
    <Student_Groups xmlns="5fad9ae9-ba6c-40d1-b144-25bb19b9f2d1">
      <UserInfo>
        <DisplayName/>
        <AccountId xsi:nil="true"/>
        <AccountType/>
      </UserInfo>
    </Student_Groups>
    <Leaders xmlns="5fad9ae9-ba6c-40d1-b144-25bb19b9f2d1">
      <UserInfo>
        <DisplayName/>
        <AccountId xsi:nil="true"/>
        <AccountType/>
      </UserInfo>
    </Leaders>
    <Has_Leaders_Only_SectionGroup xmlns="5fad9ae9-ba6c-40d1-b144-25bb19b9f2d1" xsi:nil="true"/>
    <Invited_Members xmlns="5fad9ae9-ba6c-40d1-b144-25bb19b9f2d1" xsi:nil="true"/>
    <Invited_Students xmlns="5fad9ae9-ba6c-40d1-b144-25bb19b9f2d1" xsi:nil="true"/>
    <LMS_Mappings xmlns="5fad9ae9-ba6c-40d1-b144-25bb19b9f2d1" xsi:nil="true"/>
    <CultureName xmlns="5fad9ae9-ba6c-40d1-b144-25bb19b9f2d1" xsi:nil="true"/>
    <Templates xmlns="5fad9ae9-ba6c-40d1-b144-25bb19b9f2d1" xsi:nil="true"/>
    <Has_Teacher_Only_SectionGroup xmlns="5fad9ae9-ba6c-40d1-b144-25bb19b9f2d1" xsi:nil="true"/>
    <Member_Groups xmlns="5fad9ae9-ba6c-40d1-b144-25bb19b9f2d1">
      <UserInfo>
        <DisplayName/>
        <AccountId xsi:nil="true"/>
        <AccountType/>
      </UserInfo>
    </Member_Groups>
    <DefaultSectionNames xmlns="5fad9ae9-ba6c-40d1-b144-25bb19b9f2d1" xsi:nil="true"/>
    <Is_Collaboration_Space_Locked xmlns="5fad9ae9-ba6c-40d1-b144-25bb19b9f2d1" xsi:nil="true"/>
    <AppVersion xmlns="5fad9ae9-ba6c-40d1-b144-25bb19b9f2d1" xsi:nil="true"/>
    <Teachers xmlns="5fad9ae9-ba6c-40d1-b144-25bb19b9f2d1">
      <UserInfo>
        <DisplayName/>
        <AccountId xsi:nil="true"/>
        <AccountType/>
      </UserInfo>
    </Teachers>
    <_ip_UnifiedCompliancePolicyProperties xmlns="http://schemas.microsoft.com/sharepoint/v3" xsi:nil="true"/>
    <Self_Registration_Enabled xmlns="5fad9ae9-ba6c-40d1-b144-25bb19b9f2d1" xsi:nil="true"/>
    <Math_Settings xmlns="5fad9ae9-ba6c-40d1-b144-25bb19b9f2d1" xsi:nil="true"/>
    <Members xmlns="5fad9ae9-ba6c-40d1-b144-25bb19b9f2d1">
      <UserInfo>
        <DisplayName/>
        <AccountId xsi:nil="true"/>
        <AccountType/>
      </UserInfo>
    </Members>
    <IsNotebookLocked xmlns="5fad9ae9-ba6c-40d1-b144-25bb19b9f2d1" xsi:nil="true"/>
    <Distribution_Groups xmlns="5fad9ae9-ba6c-40d1-b144-25bb19b9f2d1" xsi:nil="true"/>
    <TeamsChannelId xmlns="5fad9ae9-ba6c-40d1-b144-25bb19b9f2d1" xsi:nil="true"/>
    <Invited_Leaders xmlns="5fad9ae9-ba6c-40d1-b144-25bb19b9f2d1" xsi:nil="true"/>
    <NotebookType xmlns="5fad9ae9-ba6c-40d1-b144-25bb19b9f2d1" xsi:nil="true"/>
    <FolderType xmlns="5fad9ae9-ba6c-40d1-b144-25bb19b9f2d1" xsi:nil="true"/>
    <Students xmlns="5fad9ae9-ba6c-40d1-b144-25bb19b9f2d1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6DEB500E-37B5-42AF-BE28-FFA36CBAE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ddaa57-f7fc-41b1-a2e8-421dcba305e9"/>
    <ds:schemaRef ds:uri="5fad9ae9-ba6c-40d1-b144-25bb19b9f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E6569F-C5B6-4472-BC71-4C1D27396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64DF1-0B81-40BD-804E-DB32A44EC30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ad9ae9-ba6c-40d1-b144-25bb19b9f2d1"/>
    <ds:schemaRef ds:uri="23ddaa57-f7fc-41b1-a2e8-421dcba305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Sydes</dc:creator>
  <cp:keywords/>
  <cp:lastModifiedBy>Dan Sydes</cp:lastModifiedBy>
  <cp:revision>2</cp:revision>
  <dcterms:created xsi:type="dcterms:W3CDTF">2021-03-03T10:58:00Z</dcterms:created>
  <dcterms:modified xsi:type="dcterms:W3CDTF">2021-03-03T10:58:00Z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0x010100706FD3DE09F78248BF22E1F247F42C5D</vt:lpwstr>
  </property>
</Properties>
</file>