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89E" w:rsidRDefault="00681324">
      <w:pPr>
        <w:spacing w:after="0" w:line="234" w:lineRule="auto"/>
        <w:ind w:left="708" w:right="9222" w:firstLine="0"/>
        <w:jc w:val="left"/>
      </w:pPr>
      <w:r>
        <w:rPr>
          <w:rFonts w:ascii="Cambria" w:eastAsia="Cambria" w:hAnsi="Cambria" w:cs="Cambria"/>
          <w:sz w:val="24"/>
        </w:rPr>
        <w:t xml:space="preserve">  </w:t>
      </w:r>
    </w:p>
    <w:p w:rsidR="00F0389E" w:rsidRDefault="00681324">
      <w:pPr>
        <w:spacing w:after="0" w:line="259" w:lineRule="auto"/>
        <w:ind w:left="0" w:right="1118" w:firstLine="0"/>
        <w:jc w:val="right"/>
      </w:pPr>
      <w:r>
        <w:rPr>
          <w:noProof/>
        </w:rPr>
        <w:drawing>
          <wp:inline distT="0" distB="0" distL="0" distR="0">
            <wp:extent cx="5066031" cy="188404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7"/>
                    <a:stretch>
                      <a:fillRect/>
                    </a:stretch>
                  </pic:blipFill>
                  <pic:spPr>
                    <a:xfrm>
                      <a:off x="0" y="0"/>
                      <a:ext cx="5066031" cy="1884045"/>
                    </a:xfrm>
                    <a:prstGeom prst="rect">
                      <a:avLst/>
                    </a:prstGeom>
                  </pic:spPr>
                </pic:pic>
              </a:graphicData>
            </a:graphic>
          </wp:inline>
        </w:drawing>
      </w:r>
      <w:r>
        <w:rPr>
          <w:rFonts w:ascii="Cambria" w:eastAsia="Cambria" w:hAnsi="Cambria" w:cs="Cambria"/>
          <w:sz w:val="24"/>
        </w:rPr>
        <w:t xml:space="preserve"> </w:t>
      </w:r>
      <w:r>
        <w:t xml:space="preserve"> </w:t>
      </w:r>
    </w:p>
    <w:p w:rsidR="00F0389E" w:rsidRDefault="00681324">
      <w:pPr>
        <w:spacing w:after="0" w:line="259" w:lineRule="auto"/>
        <w:ind w:left="708" w:firstLine="0"/>
        <w:jc w:val="left"/>
      </w:pPr>
      <w:r>
        <w:rPr>
          <w:rFonts w:ascii="Cambria" w:eastAsia="Cambria" w:hAnsi="Cambria" w:cs="Cambria"/>
          <w:sz w:val="24"/>
        </w:rPr>
        <w:t xml:space="preserve"> </w:t>
      </w:r>
      <w:r>
        <w:t xml:space="preserve"> </w:t>
      </w:r>
    </w:p>
    <w:p w:rsidR="00F0389E" w:rsidRDefault="00681324">
      <w:pPr>
        <w:spacing w:after="409" w:line="259" w:lineRule="auto"/>
        <w:ind w:left="708" w:firstLine="0"/>
        <w:jc w:val="left"/>
      </w:pPr>
      <w:r>
        <w:rPr>
          <w:rFonts w:ascii="Cambria" w:eastAsia="Cambria" w:hAnsi="Cambria" w:cs="Cambria"/>
          <w:sz w:val="24"/>
        </w:rPr>
        <w:t xml:space="preserve"> </w:t>
      </w:r>
      <w:r>
        <w:t xml:space="preserve"> </w:t>
      </w:r>
    </w:p>
    <w:p w:rsidR="00F0389E" w:rsidRDefault="00DB29F0">
      <w:pPr>
        <w:spacing w:after="0" w:line="259" w:lineRule="auto"/>
        <w:ind w:left="708" w:firstLine="0"/>
        <w:jc w:val="left"/>
      </w:pPr>
      <w:r>
        <w:rPr>
          <w:sz w:val="48"/>
        </w:rPr>
        <w:t xml:space="preserve">Draft </w:t>
      </w:r>
      <w:r w:rsidR="00B037C0">
        <w:rPr>
          <w:sz w:val="48"/>
        </w:rPr>
        <w:t>Admission Arrangements for 2022</w:t>
      </w:r>
      <w:r w:rsidR="00681324">
        <w:t xml:space="preserve"> </w:t>
      </w:r>
    </w:p>
    <w:p w:rsidR="00F0389E" w:rsidRDefault="00681324">
      <w:pPr>
        <w:spacing w:after="0" w:line="259" w:lineRule="auto"/>
        <w:ind w:left="708" w:firstLine="0"/>
        <w:jc w:val="left"/>
      </w:pPr>
      <w:r>
        <w:rPr>
          <w:b/>
          <w:color w:val="E36C0A"/>
          <w:sz w:val="24"/>
        </w:rPr>
        <w:t xml:space="preserve"> </w:t>
      </w:r>
      <w:r>
        <w:t xml:space="preserve"> </w:t>
      </w:r>
    </w:p>
    <w:p w:rsidR="00F0389E" w:rsidRDefault="00681324">
      <w:pPr>
        <w:ind w:left="689" w:right="697"/>
      </w:pPr>
      <w:r>
        <w:t xml:space="preserve">North East Futures UTC has been established to support growth in IT and Healthcare Science sectors in the North East and contribute to overall regional growth.   </w:t>
      </w:r>
    </w:p>
    <w:p w:rsidR="00F0389E" w:rsidRDefault="00681324">
      <w:pPr>
        <w:spacing w:after="0" w:line="259" w:lineRule="auto"/>
        <w:ind w:left="708" w:firstLine="0"/>
        <w:jc w:val="left"/>
      </w:pPr>
      <w:r>
        <w:t xml:space="preserve">  </w:t>
      </w:r>
    </w:p>
    <w:p w:rsidR="00F0389E" w:rsidRDefault="00681324">
      <w:pPr>
        <w:ind w:left="689" w:right="697"/>
      </w:pPr>
      <w:r>
        <w:t xml:space="preserve">It provides the opportunity for young people from all the communities in this region from which students can travel on public transport within in one hour, to benefit from its specialist provision.   </w:t>
      </w:r>
    </w:p>
    <w:p w:rsidR="00F0389E" w:rsidRDefault="00681324">
      <w:pPr>
        <w:spacing w:after="0" w:line="259" w:lineRule="auto"/>
        <w:ind w:left="708" w:firstLine="0"/>
        <w:jc w:val="left"/>
      </w:pPr>
      <w:r>
        <w:rPr>
          <w:b/>
          <w:color w:val="1F497D"/>
        </w:rPr>
        <w:t xml:space="preserve"> </w:t>
      </w:r>
      <w:r>
        <w:t xml:space="preserve"> </w:t>
      </w:r>
    </w:p>
    <w:p w:rsidR="00F0389E" w:rsidRDefault="00681324">
      <w:pPr>
        <w:ind w:left="689" w:right="697"/>
      </w:pPr>
      <w:r>
        <w:t>The Board of Trustees and all the North East Futures</w:t>
      </w:r>
      <w:r>
        <w:t xml:space="preserve"> staff are committed to a policy of equality and aim to ensure that all students, employees, job applicants, other member of the school community and visitors are treated fairly and with respect.  </w:t>
      </w:r>
    </w:p>
    <w:p w:rsidR="00F0389E" w:rsidRDefault="00681324">
      <w:pPr>
        <w:spacing w:after="0" w:line="259" w:lineRule="auto"/>
        <w:ind w:left="708" w:firstLine="0"/>
        <w:jc w:val="left"/>
      </w:pPr>
      <w:r>
        <w:t xml:space="preserve">  </w:t>
      </w:r>
    </w:p>
    <w:p w:rsidR="00F0389E" w:rsidRDefault="00681324">
      <w:pPr>
        <w:ind w:left="689" w:right="697"/>
      </w:pPr>
      <w:r>
        <w:t>We aim to give equal access to the high quality educati</w:t>
      </w:r>
      <w:r>
        <w:t>onal opportunities we provide and to ensure that everyone feels that they are a valued member of the school community. We seek to create a safe and happy environment where all our students can flourish and where social and cultural diversity are celebrated</w:t>
      </w:r>
      <w:r>
        <w:t xml:space="preserve">.   </w:t>
      </w:r>
    </w:p>
    <w:p w:rsidR="00F0389E" w:rsidRDefault="00681324">
      <w:pPr>
        <w:spacing w:after="0" w:line="259" w:lineRule="auto"/>
        <w:ind w:left="708" w:right="1540" w:firstLine="0"/>
        <w:jc w:val="left"/>
      </w:pPr>
      <w:r>
        <w:t xml:space="preserve">  </w:t>
      </w:r>
    </w:p>
    <w:tbl>
      <w:tblPr>
        <w:tblStyle w:val="TableGrid"/>
        <w:tblW w:w="7482" w:type="dxa"/>
        <w:tblInd w:w="960" w:type="dxa"/>
        <w:tblCellMar>
          <w:top w:w="51" w:type="dxa"/>
          <w:left w:w="106" w:type="dxa"/>
          <w:bottom w:w="0" w:type="dxa"/>
          <w:right w:w="49" w:type="dxa"/>
        </w:tblCellMar>
        <w:tblLook w:val="04A0" w:firstRow="1" w:lastRow="0" w:firstColumn="1" w:lastColumn="0" w:noHBand="0" w:noVBand="1"/>
      </w:tblPr>
      <w:tblGrid>
        <w:gridCol w:w="4138"/>
        <w:gridCol w:w="3344"/>
      </w:tblGrid>
      <w:tr w:rsidR="00F0389E" w:rsidTr="00B037C0">
        <w:trPr>
          <w:trHeight w:val="607"/>
        </w:trPr>
        <w:tc>
          <w:tcPr>
            <w:tcW w:w="4138" w:type="dxa"/>
            <w:tcBorders>
              <w:top w:val="single" w:sz="4" w:space="0" w:color="000000"/>
              <w:left w:val="single" w:sz="4" w:space="0" w:color="000000"/>
              <w:bottom w:val="single" w:sz="4" w:space="0" w:color="000000"/>
              <w:right w:val="single" w:sz="4" w:space="0" w:color="000000"/>
            </w:tcBorders>
          </w:tcPr>
          <w:p w:rsidR="00F0389E" w:rsidRDefault="00681324">
            <w:pPr>
              <w:spacing w:after="0" w:line="259" w:lineRule="auto"/>
              <w:ind w:left="2" w:firstLine="0"/>
              <w:jc w:val="left"/>
            </w:pPr>
            <w:r>
              <w:t xml:space="preserve">Reviewed by:  </w:t>
            </w:r>
          </w:p>
          <w:p w:rsidR="00F0389E" w:rsidRDefault="00681324">
            <w:pPr>
              <w:spacing w:after="0" w:line="259" w:lineRule="auto"/>
              <w:ind w:left="2" w:firstLine="0"/>
              <w:jc w:val="left"/>
            </w:pPr>
            <w:r>
              <w:t xml:space="preserve">  </w:t>
            </w:r>
          </w:p>
        </w:tc>
        <w:tc>
          <w:tcPr>
            <w:tcW w:w="3344" w:type="dxa"/>
            <w:tcBorders>
              <w:top w:val="single" w:sz="4" w:space="0" w:color="000000"/>
              <w:left w:val="single" w:sz="4" w:space="0" w:color="000000"/>
              <w:bottom w:val="single" w:sz="4" w:space="0" w:color="000000"/>
              <w:right w:val="single" w:sz="4" w:space="0" w:color="000000"/>
            </w:tcBorders>
          </w:tcPr>
          <w:p w:rsidR="00F0389E" w:rsidRDefault="00681324">
            <w:pPr>
              <w:spacing w:after="0" w:line="259" w:lineRule="auto"/>
              <w:ind w:left="2" w:firstLine="0"/>
              <w:jc w:val="left"/>
            </w:pPr>
            <w:r>
              <w:t xml:space="preserve">LGB  </w:t>
            </w:r>
          </w:p>
        </w:tc>
      </w:tr>
      <w:tr w:rsidR="00F0389E" w:rsidTr="00B037C0">
        <w:trPr>
          <w:trHeight w:val="334"/>
        </w:trPr>
        <w:tc>
          <w:tcPr>
            <w:tcW w:w="4138" w:type="dxa"/>
            <w:tcBorders>
              <w:top w:val="single" w:sz="4" w:space="0" w:color="000000"/>
              <w:left w:val="single" w:sz="4" w:space="0" w:color="000000"/>
              <w:bottom w:val="single" w:sz="4" w:space="0" w:color="000000"/>
              <w:right w:val="single" w:sz="4" w:space="0" w:color="000000"/>
            </w:tcBorders>
          </w:tcPr>
          <w:p w:rsidR="00F0389E" w:rsidRDefault="00681324">
            <w:pPr>
              <w:spacing w:after="0" w:line="259" w:lineRule="auto"/>
              <w:ind w:left="2" w:firstLine="0"/>
              <w:jc w:val="left"/>
            </w:pPr>
            <w:r>
              <w:t xml:space="preserve">Frequency of policy review:  </w:t>
            </w:r>
          </w:p>
        </w:tc>
        <w:tc>
          <w:tcPr>
            <w:tcW w:w="3344" w:type="dxa"/>
            <w:tcBorders>
              <w:top w:val="single" w:sz="4" w:space="0" w:color="000000"/>
              <w:left w:val="single" w:sz="4" w:space="0" w:color="000000"/>
              <w:bottom w:val="single" w:sz="4" w:space="0" w:color="000000"/>
              <w:right w:val="single" w:sz="4" w:space="0" w:color="000000"/>
            </w:tcBorders>
          </w:tcPr>
          <w:p w:rsidR="00F0389E" w:rsidRDefault="00681324">
            <w:pPr>
              <w:spacing w:after="0" w:line="259" w:lineRule="auto"/>
              <w:ind w:left="2" w:firstLine="0"/>
              <w:jc w:val="left"/>
            </w:pPr>
            <w:r>
              <w:t xml:space="preserve">Annually  </w:t>
            </w:r>
          </w:p>
        </w:tc>
      </w:tr>
      <w:tr w:rsidR="00F0389E" w:rsidTr="00B037C0">
        <w:trPr>
          <w:trHeight w:val="581"/>
        </w:trPr>
        <w:tc>
          <w:tcPr>
            <w:tcW w:w="4138" w:type="dxa"/>
            <w:tcBorders>
              <w:top w:val="single" w:sz="4" w:space="0" w:color="000000"/>
              <w:left w:val="single" w:sz="4" w:space="0" w:color="000000"/>
              <w:bottom w:val="single" w:sz="4" w:space="0" w:color="000000"/>
              <w:right w:val="single" w:sz="4" w:space="0" w:color="000000"/>
            </w:tcBorders>
          </w:tcPr>
          <w:p w:rsidR="00F0389E" w:rsidRDefault="00681324">
            <w:pPr>
              <w:spacing w:after="0" w:line="259" w:lineRule="auto"/>
              <w:ind w:left="2" w:firstLine="0"/>
              <w:jc w:val="left"/>
            </w:pPr>
            <w:r>
              <w:t xml:space="preserve">Lead Sub Committee for discussion:  </w:t>
            </w:r>
          </w:p>
        </w:tc>
        <w:tc>
          <w:tcPr>
            <w:tcW w:w="3344" w:type="dxa"/>
            <w:tcBorders>
              <w:top w:val="single" w:sz="4" w:space="0" w:color="000000"/>
              <w:left w:val="single" w:sz="4" w:space="0" w:color="000000"/>
              <w:bottom w:val="single" w:sz="4" w:space="0" w:color="000000"/>
              <w:right w:val="single" w:sz="4" w:space="0" w:color="000000"/>
            </w:tcBorders>
          </w:tcPr>
          <w:p w:rsidR="00F0389E" w:rsidRDefault="00681324">
            <w:pPr>
              <w:spacing w:after="0" w:line="259" w:lineRule="auto"/>
              <w:ind w:left="2" w:firstLine="0"/>
              <w:jc w:val="left"/>
            </w:pPr>
            <w:r>
              <w:t xml:space="preserve">LGB  </w:t>
            </w:r>
          </w:p>
        </w:tc>
      </w:tr>
      <w:tr w:rsidR="00F0389E" w:rsidTr="00B037C0">
        <w:trPr>
          <w:trHeight w:val="334"/>
        </w:trPr>
        <w:tc>
          <w:tcPr>
            <w:tcW w:w="4138" w:type="dxa"/>
            <w:tcBorders>
              <w:top w:val="single" w:sz="4" w:space="0" w:color="000000"/>
              <w:left w:val="single" w:sz="4" w:space="0" w:color="000000"/>
              <w:bottom w:val="single" w:sz="4" w:space="0" w:color="000000"/>
              <w:right w:val="single" w:sz="4" w:space="0" w:color="000000"/>
            </w:tcBorders>
          </w:tcPr>
          <w:p w:rsidR="00F0389E" w:rsidRDefault="00681324">
            <w:pPr>
              <w:spacing w:after="0" w:line="259" w:lineRule="auto"/>
              <w:ind w:left="2" w:firstLine="0"/>
              <w:jc w:val="left"/>
            </w:pPr>
            <w:r>
              <w:t xml:space="preserve">Last Reviewed:  </w:t>
            </w:r>
          </w:p>
        </w:tc>
        <w:tc>
          <w:tcPr>
            <w:tcW w:w="3344" w:type="dxa"/>
            <w:tcBorders>
              <w:top w:val="single" w:sz="4" w:space="0" w:color="000000"/>
              <w:left w:val="single" w:sz="4" w:space="0" w:color="000000"/>
              <w:bottom w:val="single" w:sz="4" w:space="0" w:color="000000"/>
              <w:right w:val="single" w:sz="4" w:space="0" w:color="000000"/>
            </w:tcBorders>
          </w:tcPr>
          <w:p w:rsidR="00F0389E" w:rsidRDefault="00F0389E">
            <w:pPr>
              <w:spacing w:after="0" w:line="259" w:lineRule="auto"/>
              <w:ind w:left="2" w:firstLine="0"/>
              <w:jc w:val="left"/>
            </w:pPr>
          </w:p>
        </w:tc>
      </w:tr>
      <w:tr w:rsidR="00F0389E" w:rsidTr="00B037C0">
        <w:trPr>
          <w:trHeight w:val="334"/>
        </w:trPr>
        <w:tc>
          <w:tcPr>
            <w:tcW w:w="4138" w:type="dxa"/>
            <w:tcBorders>
              <w:top w:val="single" w:sz="4" w:space="0" w:color="000000"/>
              <w:left w:val="single" w:sz="4" w:space="0" w:color="000000"/>
              <w:bottom w:val="single" w:sz="4" w:space="0" w:color="000000"/>
              <w:right w:val="single" w:sz="4" w:space="0" w:color="000000"/>
            </w:tcBorders>
          </w:tcPr>
          <w:p w:rsidR="00F0389E" w:rsidRDefault="00681324">
            <w:pPr>
              <w:spacing w:after="0" w:line="259" w:lineRule="auto"/>
              <w:ind w:left="2" w:firstLine="0"/>
              <w:jc w:val="left"/>
            </w:pPr>
            <w:r>
              <w:t xml:space="preserve">Review by </w:t>
            </w:r>
          </w:p>
        </w:tc>
        <w:tc>
          <w:tcPr>
            <w:tcW w:w="3344" w:type="dxa"/>
            <w:tcBorders>
              <w:top w:val="single" w:sz="4" w:space="0" w:color="000000"/>
              <w:left w:val="single" w:sz="4" w:space="0" w:color="000000"/>
              <w:bottom w:val="single" w:sz="4" w:space="0" w:color="000000"/>
              <w:right w:val="single" w:sz="4" w:space="0" w:color="000000"/>
            </w:tcBorders>
          </w:tcPr>
          <w:p w:rsidR="00F0389E" w:rsidRDefault="00F0389E">
            <w:pPr>
              <w:spacing w:after="0" w:line="259" w:lineRule="auto"/>
              <w:ind w:left="2" w:firstLine="0"/>
              <w:jc w:val="left"/>
            </w:pPr>
          </w:p>
        </w:tc>
      </w:tr>
      <w:tr w:rsidR="00F0389E" w:rsidTr="00B037C0">
        <w:trPr>
          <w:trHeight w:val="869"/>
        </w:trPr>
        <w:tc>
          <w:tcPr>
            <w:tcW w:w="4138" w:type="dxa"/>
            <w:tcBorders>
              <w:top w:val="single" w:sz="4" w:space="0" w:color="000000"/>
              <w:left w:val="single" w:sz="4" w:space="0" w:color="000000"/>
              <w:bottom w:val="single" w:sz="4" w:space="0" w:color="000000"/>
              <w:right w:val="single" w:sz="4" w:space="0" w:color="000000"/>
            </w:tcBorders>
          </w:tcPr>
          <w:p w:rsidR="00F0389E" w:rsidRDefault="00681324">
            <w:pPr>
              <w:spacing w:after="0" w:line="259" w:lineRule="auto"/>
              <w:ind w:left="2" w:firstLine="0"/>
              <w:jc w:val="left"/>
            </w:pPr>
            <w:r>
              <w:t xml:space="preserve">Signature </w:t>
            </w:r>
          </w:p>
        </w:tc>
        <w:tc>
          <w:tcPr>
            <w:tcW w:w="3344" w:type="dxa"/>
            <w:tcBorders>
              <w:top w:val="single" w:sz="4" w:space="0" w:color="000000"/>
              <w:left w:val="single" w:sz="4" w:space="0" w:color="000000"/>
              <w:bottom w:val="single" w:sz="4" w:space="0" w:color="000000"/>
              <w:right w:val="single" w:sz="4" w:space="0" w:color="000000"/>
            </w:tcBorders>
            <w:vAlign w:val="bottom"/>
          </w:tcPr>
          <w:p w:rsidR="00F0389E" w:rsidRDefault="00F0389E">
            <w:pPr>
              <w:spacing w:after="0" w:line="259" w:lineRule="auto"/>
              <w:ind w:left="0" w:right="1292" w:firstLine="0"/>
              <w:jc w:val="center"/>
            </w:pPr>
          </w:p>
        </w:tc>
      </w:tr>
      <w:tr w:rsidR="00F0389E" w:rsidTr="00B037C0">
        <w:trPr>
          <w:trHeight w:val="578"/>
        </w:trPr>
        <w:tc>
          <w:tcPr>
            <w:tcW w:w="4138" w:type="dxa"/>
            <w:tcBorders>
              <w:top w:val="single" w:sz="4" w:space="0" w:color="000000"/>
              <w:left w:val="single" w:sz="4" w:space="0" w:color="000000"/>
              <w:bottom w:val="single" w:sz="4" w:space="0" w:color="000000"/>
              <w:right w:val="single" w:sz="4" w:space="0" w:color="000000"/>
            </w:tcBorders>
          </w:tcPr>
          <w:p w:rsidR="00F0389E" w:rsidRDefault="00681324">
            <w:pPr>
              <w:spacing w:after="0" w:line="259" w:lineRule="auto"/>
              <w:ind w:left="2" w:firstLine="0"/>
              <w:jc w:val="left"/>
            </w:pPr>
            <w:r>
              <w:t xml:space="preserve">Ratified by Board of Trustees on:  </w:t>
            </w:r>
          </w:p>
        </w:tc>
        <w:tc>
          <w:tcPr>
            <w:tcW w:w="3344" w:type="dxa"/>
            <w:tcBorders>
              <w:top w:val="single" w:sz="4" w:space="0" w:color="000000"/>
              <w:left w:val="single" w:sz="4" w:space="0" w:color="000000"/>
              <w:bottom w:val="single" w:sz="4" w:space="0" w:color="000000"/>
              <w:right w:val="single" w:sz="4" w:space="0" w:color="000000"/>
            </w:tcBorders>
          </w:tcPr>
          <w:p w:rsidR="00F0389E" w:rsidRDefault="00F0389E">
            <w:pPr>
              <w:spacing w:after="0" w:line="259" w:lineRule="auto"/>
              <w:ind w:left="2" w:firstLine="0"/>
              <w:jc w:val="left"/>
            </w:pPr>
          </w:p>
        </w:tc>
      </w:tr>
      <w:tr w:rsidR="00F0389E" w:rsidTr="00B037C0">
        <w:trPr>
          <w:trHeight w:val="334"/>
        </w:trPr>
        <w:tc>
          <w:tcPr>
            <w:tcW w:w="4138" w:type="dxa"/>
            <w:tcBorders>
              <w:top w:val="single" w:sz="4" w:space="0" w:color="000000"/>
              <w:left w:val="single" w:sz="4" w:space="0" w:color="000000"/>
              <w:bottom w:val="single" w:sz="4" w:space="0" w:color="000000"/>
              <w:right w:val="single" w:sz="4" w:space="0" w:color="000000"/>
            </w:tcBorders>
          </w:tcPr>
          <w:p w:rsidR="00F0389E" w:rsidRDefault="00681324">
            <w:pPr>
              <w:spacing w:after="0" w:line="259" w:lineRule="auto"/>
              <w:ind w:left="2" w:firstLine="0"/>
              <w:jc w:val="left"/>
            </w:pPr>
            <w:r>
              <w:t xml:space="preserve">Name or Trustee: </w:t>
            </w:r>
          </w:p>
        </w:tc>
        <w:tc>
          <w:tcPr>
            <w:tcW w:w="3344" w:type="dxa"/>
            <w:tcBorders>
              <w:top w:val="single" w:sz="4" w:space="0" w:color="000000"/>
              <w:left w:val="single" w:sz="4" w:space="0" w:color="000000"/>
              <w:bottom w:val="single" w:sz="4" w:space="0" w:color="000000"/>
              <w:right w:val="single" w:sz="4" w:space="0" w:color="000000"/>
            </w:tcBorders>
          </w:tcPr>
          <w:p w:rsidR="00F0389E" w:rsidRDefault="00F0389E">
            <w:pPr>
              <w:spacing w:after="0" w:line="259" w:lineRule="auto"/>
              <w:ind w:left="2" w:firstLine="0"/>
              <w:jc w:val="left"/>
            </w:pPr>
          </w:p>
        </w:tc>
      </w:tr>
      <w:tr w:rsidR="00F0389E" w:rsidTr="00B037C0">
        <w:trPr>
          <w:trHeight w:val="557"/>
        </w:trPr>
        <w:tc>
          <w:tcPr>
            <w:tcW w:w="4138" w:type="dxa"/>
            <w:tcBorders>
              <w:top w:val="single" w:sz="4" w:space="0" w:color="000000"/>
              <w:left w:val="single" w:sz="4" w:space="0" w:color="000000"/>
              <w:bottom w:val="single" w:sz="4" w:space="0" w:color="000000"/>
              <w:right w:val="single" w:sz="4" w:space="0" w:color="000000"/>
            </w:tcBorders>
          </w:tcPr>
          <w:p w:rsidR="00F0389E" w:rsidRDefault="00681324">
            <w:pPr>
              <w:spacing w:after="0" w:line="259" w:lineRule="auto"/>
              <w:ind w:left="2" w:firstLine="0"/>
              <w:jc w:val="left"/>
            </w:pPr>
            <w:r>
              <w:t xml:space="preserve">Signature: </w:t>
            </w:r>
          </w:p>
        </w:tc>
        <w:tc>
          <w:tcPr>
            <w:tcW w:w="3344" w:type="dxa"/>
            <w:tcBorders>
              <w:top w:val="single" w:sz="4" w:space="0" w:color="000000"/>
              <w:left w:val="single" w:sz="4" w:space="0" w:color="000000"/>
              <w:bottom w:val="single" w:sz="4" w:space="0" w:color="000000"/>
              <w:right w:val="single" w:sz="4" w:space="0" w:color="000000"/>
            </w:tcBorders>
            <w:vAlign w:val="bottom"/>
          </w:tcPr>
          <w:p w:rsidR="00F0389E" w:rsidRDefault="00F0389E">
            <w:pPr>
              <w:spacing w:after="0" w:line="259" w:lineRule="auto"/>
              <w:ind w:left="0" w:firstLine="0"/>
              <w:jc w:val="right"/>
            </w:pPr>
          </w:p>
        </w:tc>
      </w:tr>
    </w:tbl>
    <w:p w:rsidR="00F0389E" w:rsidRDefault="00681324">
      <w:pPr>
        <w:spacing w:after="0" w:line="259" w:lineRule="auto"/>
        <w:ind w:left="0" w:right="1284" w:firstLine="0"/>
        <w:jc w:val="right"/>
      </w:pPr>
      <w:r>
        <w:rPr>
          <w:sz w:val="24"/>
        </w:rPr>
        <w:lastRenderedPageBreak/>
        <w:t xml:space="preserve"> </w:t>
      </w:r>
      <w:r>
        <w:t xml:space="preserve"> </w:t>
      </w:r>
    </w:p>
    <w:p w:rsidR="00F0389E" w:rsidRDefault="00681324">
      <w:pPr>
        <w:spacing w:after="0" w:line="259" w:lineRule="auto"/>
        <w:ind w:left="708" w:firstLine="0"/>
        <w:jc w:val="left"/>
      </w:pPr>
      <w:r>
        <w:rPr>
          <w:color w:val="FF0000"/>
          <w:sz w:val="28"/>
        </w:rPr>
        <w:t xml:space="preserve"> </w:t>
      </w:r>
    </w:p>
    <w:p w:rsidR="00F0389E" w:rsidRDefault="00681324">
      <w:pPr>
        <w:spacing w:after="0" w:line="259" w:lineRule="auto"/>
        <w:ind w:left="708" w:firstLine="0"/>
        <w:jc w:val="left"/>
      </w:pPr>
      <w:r>
        <w:rPr>
          <w:color w:val="FF0000"/>
          <w:sz w:val="28"/>
        </w:rPr>
        <w:t xml:space="preserve"> </w:t>
      </w:r>
    </w:p>
    <w:p w:rsidR="00F0389E" w:rsidRDefault="00681324">
      <w:pPr>
        <w:spacing w:after="0" w:line="259" w:lineRule="auto"/>
        <w:ind w:left="708" w:firstLine="0"/>
        <w:jc w:val="left"/>
      </w:pPr>
      <w:r>
        <w:rPr>
          <w:color w:val="FF0000"/>
          <w:sz w:val="28"/>
        </w:rPr>
        <w:t xml:space="preserve"> </w:t>
      </w:r>
      <w:r>
        <w:t xml:space="preserve"> </w:t>
      </w:r>
    </w:p>
    <w:p w:rsidR="00F0389E" w:rsidRDefault="00681324">
      <w:pPr>
        <w:spacing w:after="0" w:line="259" w:lineRule="auto"/>
        <w:ind w:left="708" w:firstLine="0"/>
        <w:jc w:val="left"/>
      </w:pPr>
      <w:r>
        <w:rPr>
          <w:color w:val="FF0000"/>
          <w:sz w:val="28"/>
        </w:rPr>
        <w:t xml:space="preserve"> </w:t>
      </w:r>
      <w:r>
        <w:t xml:space="preserve"> </w:t>
      </w:r>
    </w:p>
    <w:p w:rsidR="00F0389E" w:rsidRDefault="00681324">
      <w:pPr>
        <w:spacing w:after="0" w:line="259" w:lineRule="auto"/>
        <w:ind w:left="708" w:firstLine="0"/>
        <w:jc w:val="left"/>
      </w:pPr>
      <w:r>
        <w:rPr>
          <w:color w:val="FF0000"/>
          <w:sz w:val="28"/>
        </w:rPr>
        <w:t xml:space="preserve"> </w:t>
      </w:r>
      <w:r>
        <w:t xml:space="preserve"> </w:t>
      </w:r>
    </w:p>
    <w:p w:rsidR="00F0389E" w:rsidRDefault="00681324">
      <w:pPr>
        <w:spacing w:after="0" w:line="259" w:lineRule="auto"/>
        <w:ind w:left="708" w:firstLine="0"/>
        <w:jc w:val="left"/>
      </w:pPr>
      <w:r>
        <w:rPr>
          <w:color w:val="FF0000"/>
          <w:sz w:val="28"/>
        </w:rPr>
        <w:t xml:space="preserve"> </w:t>
      </w:r>
      <w:r>
        <w:t xml:space="preserve"> </w:t>
      </w:r>
    </w:p>
    <w:p w:rsidR="00F0389E" w:rsidRDefault="00681324">
      <w:pPr>
        <w:spacing w:after="0" w:line="259" w:lineRule="auto"/>
        <w:ind w:left="708" w:firstLine="0"/>
        <w:jc w:val="left"/>
      </w:pPr>
      <w:r>
        <w:rPr>
          <w:color w:val="FF0000"/>
          <w:sz w:val="28"/>
        </w:rPr>
        <w:t xml:space="preserve"> </w:t>
      </w:r>
      <w:r>
        <w:t xml:space="preserve"> </w:t>
      </w:r>
    </w:p>
    <w:p w:rsidR="00F0389E" w:rsidRDefault="00681324">
      <w:pPr>
        <w:spacing w:after="0" w:line="259" w:lineRule="auto"/>
        <w:ind w:left="708" w:firstLine="0"/>
        <w:jc w:val="left"/>
      </w:pPr>
      <w:r>
        <w:rPr>
          <w:color w:val="FF0000"/>
          <w:sz w:val="28"/>
        </w:rPr>
        <w:t xml:space="preserve"> </w:t>
      </w:r>
      <w:r>
        <w:t xml:space="preserve"> </w:t>
      </w:r>
    </w:p>
    <w:p w:rsidR="00F0389E" w:rsidRDefault="00681324">
      <w:pPr>
        <w:spacing w:after="0" w:line="259" w:lineRule="auto"/>
        <w:ind w:left="708" w:firstLine="0"/>
        <w:jc w:val="left"/>
      </w:pPr>
      <w:r>
        <w:rPr>
          <w:sz w:val="24"/>
        </w:rPr>
        <w:t xml:space="preserve"> </w:t>
      </w:r>
      <w:r>
        <w:t xml:space="preserve"> </w:t>
      </w:r>
    </w:p>
    <w:p w:rsidR="00F0389E" w:rsidRDefault="00681324">
      <w:pPr>
        <w:pStyle w:val="Heading1"/>
        <w:ind w:left="689"/>
      </w:pPr>
      <w:r>
        <w:rPr>
          <w:u w:val="none"/>
        </w:rPr>
        <w:t xml:space="preserve">1.  </w:t>
      </w:r>
      <w:r>
        <w:t>Introduction</w:t>
      </w:r>
      <w:r>
        <w:rPr>
          <w:u w:val="none"/>
        </w:rPr>
        <w:t xml:space="preserve">  </w:t>
      </w:r>
    </w:p>
    <w:p w:rsidR="00F0389E" w:rsidRDefault="00681324">
      <w:pPr>
        <w:spacing w:after="0" w:line="259" w:lineRule="auto"/>
        <w:ind w:left="708" w:firstLine="0"/>
        <w:jc w:val="left"/>
      </w:pPr>
      <w:r>
        <w:rPr>
          <w:b/>
          <w:sz w:val="24"/>
        </w:rPr>
        <w:t xml:space="preserve"> </w:t>
      </w:r>
      <w:r>
        <w:t xml:space="preserve"> </w:t>
      </w:r>
    </w:p>
    <w:p w:rsidR="00F0389E" w:rsidRDefault="00681324">
      <w:pPr>
        <w:ind w:left="689" w:right="697"/>
      </w:pPr>
      <w:r>
        <w:t>North East Futures UTC (the UTC) has been created to provide 14-19 education for career</w:t>
      </w:r>
      <w:r>
        <w:t xml:space="preserve">-minded young people in the North East who seek careers in Health and/or Technology. These are two of the fastest growing employers in the region and contribute significantly to economic growth. </w:t>
      </w:r>
    </w:p>
    <w:p w:rsidR="00F0389E" w:rsidRDefault="00681324">
      <w:pPr>
        <w:spacing w:after="0" w:line="259" w:lineRule="auto"/>
        <w:ind w:left="708" w:firstLine="0"/>
        <w:jc w:val="left"/>
      </w:pPr>
      <w:r>
        <w:t xml:space="preserve">  </w:t>
      </w:r>
    </w:p>
    <w:p w:rsidR="00F0389E" w:rsidRDefault="00681324">
      <w:pPr>
        <w:ind w:left="689" w:right="697"/>
      </w:pPr>
      <w:r>
        <w:t xml:space="preserve">North East Futures UTC is a state funded, co-educational </w:t>
      </w:r>
      <w:r>
        <w:t>school and sixth form situated in The Stephenson Quarter, Newcastle upon Tyne, catering for 14-19 year old students, drawn from Darlington, Durham, Gateshead, Hartlepool, Newcastle, North Tyneside, Northumberland, South Tyneside and Sunderland Local Author</w:t>
      </w:r>
      <w:r>
        <w:t>ity areas (see Appendix 1).</w:t>
      </w:r>
      <w:r w:rsidR="00B037C0">
        <w:t xml:space="preserve"> Admission arrangements for 2022</w:t>
      </w:r>
      <w:r>
        <w:t xml:space="preserve"> are set out below.  </w:t>
      </w:r>
    </w:p>
    <w:p w:rsidR="00F0389E" w:rsidRDefault="00681324">
      <w:pPr>
        <w:spacing w:after="0" w:line="259" w:lineRule="auto"/>
        <w:ind w:left="708" w:firstLine="0"/>
        <w:jc w:val="left"/>
      </w:pPr>
      <w:r>
        <w:t xml:space="preserve">  </w:t>
      </w:r>
    </w:p>
    <w:p w:rsidR="00F0389E" w:rsidRDefault="00681324">
      <w:pPr>
        <w:ind w:left="689" w:right="697"/>
      </w:pPr>
      <w:r>
        <w:t>The UTC is committed to straightforward, open fair and transparent Admission arrangements. The UTC will act fully in accordance with both the School Admissions Code (as rev</w:t>
      </w:r>
      <w:r>
        <w:t xml:space="preserve">ised August 2017) and the School Admission Appeals Codes, as they apply to Academies. Both of these admissions codes will be referred to as “the codes” thereafter in this document.  </w:t>
      </w:r>
    </w:p>
    <w:p w:rsidR="00F0389E" w:rsidRDefault="00681324">
      <w:pPr>
        <w:spacing w:after="0" w:line="259" w:lineRule="auto"/>
        <w:ind w:left="708" w:firstLine="0"/>
        <w:jc w:val="left"/>
      </w:pPr>
      <w:r>
        <w:t xml:space="preserve">  </w:t>
      </w:r>
    </w:p>
    <w:p w:rsidR="00F0389E" w:rsidRDefault="00681324">
      <w:pPr>
        <w:ind w:left="689" w:right="697"/>
      </w:pPr>
      <w:r>
        <w:t>The UTC seeks to admit students from across the region. Students are e</w:t>
      </w:r>
      <w:r>
        <w:t xml:space="preserve">xpected to self- select to apply to the UTC on the basis of access to their desired career pathway. Targeted marketing and recruitment activity, supported by an extensive network of Employer Partners will seek to ensure that the UTC attracts students with </w:t>
      </w:r>
      <w:r>
        <w:t xml:space="preserve">an interest in its specialisms.  </w:t>
      </w:r>
    </w:p>
    <w:p w:rsidR="00F0389E" w:rsidRDefault="00681324">
      <w:pPr>
        <w:spacing w:after="0" w:line="259" w:lineRule="auto"/>
        <w:ind w:left="708" w:firstLine="0"/>
        <w:jc w:val="left"/>
      </w:pPr>
      <w:r>
        <w:rPr>
          <w:color w:val="1A5DB0"/>
        </w:rPr>
        <w:t xml:space="preserve"> </w:t>
      </w:r>
      <w:r>
        <w:t xml:space="preserve"> </w:t>
      </w:r>
    </w:p>
    <w:p w:rsidR="00F0389E" w:rsidRDefault="00681324">
      <w:pPr>
        <w:ind w:left="689" w:right="697"/>
      </w:pPr>
      <w:r>
        <w:t>The UTC provides school places to young people of all abilities aged between 14 and 19. It offers a combined academic and technical curriculum. The UTC will be nonselective at 14 but expects that students who apply will</w:t>
      </w:r>
      <w:r>
        <w:t xml:space="preserve"> want to learn about and be interested in careers in Healthcare Science and Information Technology. The UTC has clear entry requirements for different pathways at 16. </w:t>
      </w:r>
    </w:p>
    <w:p w:rsidR="00F0389E" w:rsidRDefault="00681324">
      <w:pPr>
        <w:spacing w:after="0" w:line="259" w:lineRule="auto"/>
        <w:ind w:left="708" w:firstLine="0"/>
        <w:jc w:val="left"/>
      </w:pPr>
      <w:r>
        <w:rPr>
          <w:sz w:val="24"/>
        </w:rPr>
        <w:t xml:space="preserve">  </w:t>
      </w:r>
      <w:r>
        <w:t xml:space="preserve"> </w:t>
      </w:r>
    </w:p>
    <w:p w:rsidR="00F0389E" w:rsidRDefault="00681324">
      <w:pPr>
        <w:pStyle w:val="Heading1"/>
        <w:ind w:left="689"/>
      </w:pPr>
      <w:r>
        <w:rPr>
          <w:u w:val="none"/>
        </w:rPr>
        <w:t xml:space="preserve">2.  </w:t>
      </w:r>
      <w:r>
        <w:t>Admission Numbers</w:t>
      </w:r>
      <w:r>
        <w:rPr>
          <w:u w:val="none"/>
        </w:rPr>
        <w:t xml:space="preserve"> </w:t>
      </w:r>
      <w:r>
        <w:rPr>
          <w:color w:val="00B050"/>
          <w:u w:val="none"/>
        </w:rPr>
        <w:t xml:space="preserve"> </w:t>
      </w:r>
      <w:r>
        <w:rPr>
          <w:u w:val="none"/>
        </w:rPr>
        <w:t xml:space="preserve"> </w:t>
      </w:r>
    </w:p>
    <w:p w:rsidR="00F0389E" w:rsidRDefault="00681324">
      <w:pPr>
        <w:spacing w:after="0" w:line="259" w:lineRule="auto"/>
        <w:ind w:left="708" w:firstLine="0"/>
        <w:jc w:val="left"/>
      </w:pPr>
      <w:r>
        <w:rPr>
          <w:sz w:val="24"/>
        </w:rPr>
        <w:t xml:space="preserve"> </w:t>
      </w:r>
      <w:r>
        <w:t xml:space="preserve"> </w:t>
      </w:r>
    </w:p>
    <w:p w:rsidR="00F0389E" w:rsidRDefault="00681324">
      <w:pPr>
        <w:ind w:left="689" w:right="697"/>
      </w:pPr>
      <w:r>
        <w:t>North East Futures UTC has an admission number of 120 fo</w:t>
      </w:r>
      <w:r>
        <w:t xml:space="preserve">r entry in each of year </w:t>
      </w:r>
      <w:r w:rsidR="00B037C0">
        <w:t xml:space="preserve">10 and year 12 </w:t>
      </w:r>
      <w:r w:rsidR="00B037C0">
        <w:t>and 30 students for entry into Year 7</w:t>
      </w:r>
      <w:r w:rsidR="00B037C0">
        <w:t xml:space="preserve"> in September 2022.</w:t>
      </w:r>
      <w:r>
        <w:t xml:space="preserve">  </w:t>
      </w:r>
    </w:p>
    <w:p w:rsidR="00F0389E" w:rsidRDefault="00681324">
      <w:pPr>
        <w:spacing w:after="0" w:line="259" w:lineRule="auto"/>
        <w:ind w:left="708" w:firstLine="0"/>
        <w:jc w:val="left"/>
      </w:pPr>
      <w:r>
        <w:t xml:space="preserve">  </w:t>
      </w:r>
    </w:p>
    <w:p w:rsidR="00F0389E" w:rsidRDefault="00681324">
      <w:pPr>
        <w:ind w:left="689" w:right="697"/>
      </w:pPr>
      <w:r>
        <w:t>The UTC will accordingly admit this number of pupils if there are sufficient applications.  Where fewer applicants than the published admission number for the relevant year group are received, the UTC will offer places to all those who have applied.  Howev</w:t>
      </w:r>
      <w:r>
        <w:t xml:space="preserve">er, to be eligible for admission into year 12, applicants must meet the minimum academic entry criteria for certain qualifications to be undertaken.  </w:t>
      </w:r>
    </w:p>
    <w:p w:rsidR="00F0389E" w:rsidRDefault="00681324">
      <w:pPr>
        <w:spacing w:after="0" w:line="259" w:lineRule="auto"/>
        <w:ind w:left="708" w:firstLine="0"/>
        <w:jc w:val="left"/>
      </w:pPr>
      <w:r>
        <w:t xml:space="preserve">  </w:t>
      </w:r>
    </w:p>
    <w:p w:rsidR="00F0389E" w:rsidRDefault="00681324">
      <w:pPr>
        <w:spacing w:after="0" w:line="259" w:lineRule="auto"/>
        <w:ind w:left="708" w:firstLine="0"/>
        <w:jc w:val="left"/>
      </w:pPr>
      <w:r>
        <w:lastRenderedPageBreak/>
        <w:t xml:space="preserve">  </w:t>
      </w:r>
    </w:p>
    <w:p w:rsidR="00F0389E" w:rsidRDefault="00681324">
      <w:pPr>
        <w:spacing w:after="0" w:line="259" w:lineRule="auto"/>
        <w:ind w:left="776" w:firstLine="0"/>
        <w:jc w:val="left"/>
      </w:pPr>
      <w:r>
        <w:t xml:space="preserve"> </w:t>
      </w:r>
    </w:p>
    <w:p w:rsidR="00F0389E" w:rsidRDefault="00681324">
      <w:pPr>
        <w:spacing w:after="0" w:line="259" w:lineRule="auto"/>
        <w:ind w:left="776" w:firstLine="0"/>
        <w:jc w:val="left"/>
      </w:pPr>
      <w:r>
        <w:t xml:space="preserve"> </w:t>
      </w:r>
    </w:p>
    <w:p w:rsidR="00F0389E" w:rsidRDefault="00681324">
      <w:pPr>
        <w:spacing w:after="12" w:line="242" w:lineRule="auto"/>
        <w:ind w:left="708" w:right="9136" w:firstLine="0"/>
        <w:jc w:val="left"/>
      </w:pPr>
      <w:r>
        <w:t xml:space="preserve">  </w:t>
      </w:r>
      <w:r>
        <w:rPr>
          <w:sz w:val="24"/>
        </w:rPr>
        <w:t xml:space="preserve"> </w:t>
      </w:r>
      <w:r>
        <w:t xml:space="preserve"> </w:t>
      </w:r>
    </w:p>
    <w:p w:rsidR="00F0389E" w:rsidRDefault="00681324">
      <w:pPr>
        <w:pStyle w:val="Heading1"/>
        <w:ind w:left="689"/>
      </w:pPr>
      <w:r>
        <w:rPr>
          <w:b w:val="0"/>
          <w:u w:val="none"/>
        </w:rPr>
        <w:t xml:space="preserve">3.  </w:t>
      </w:r>
      <w:r>
        <w:t>Application Process</w:t>
      </w:r>
      <w:r>
        <w:rPr>
          <w:u w:val="none"/>
        </w:rPr>
        <w:t xml:space="preserve"> </w:t>
      </w:r>
      <w:r>
        <w:rPr>
          <w:b w:val="0"/>
          <w:u w:val="none"/>
        </w:rPr>
        <w:t xml:space="preserve"> </w:t>
      </w:r>
      <w:r>
        <w:rPr>
          <w:u w:val="none"/>
        </w:rPr>
        <w:t xml:space="preserve"> </w:t>
      </w:r>
    </w:p>
    <w:p w:rsidR="00F0389E" w:rsidRDefault="00681324">
      <w:pPr>
        <w:spacing w:after="0" w:line="259" w:lineRule="auto"/>
        <w:ind w:left="708" w:firstLine="0"/>
        <w:jc w:val="left"/>
      </w:pPr>
      <w:r>
        <w:rPr>
          <w:sz w:val="24"/>
        </w:rPr>
        <w:t xml:space="preserve"> </w:t>
      </w:r>
      <w:r>
        <w:t xml:space="preserve"> </w:t>
      </w:r>
    </w:p>
    <w:p w:rsidR="00F0389E" w:rsidRDefault="00681324">
      <w:pPr>
        <w:spacing w:after="5" w:line="239" w:lineRule="auto"/>
        <w:ind w:left="699" w:right="615" w:hanging="20"/>
        <w:jc w:val="left"/>
      </w:pPr>
      <w:r>
        <w:t xml:space="preserve">North East Futures UTC will process applications outside the normal process of coordination. This means that you will need to make a separate application for this school.   </w:t>
      </w:r>
    </w:p>
    <w:p w:rsidR="00F0389E" w:rsidRDefault="00681324">
      <w:pPr>
        <w:spacing w:after="0" w:line="259" w:lineRule="auto"/>
        <w:ind w:left="708" w:firstLine="0"/>
        <w:jc w:val="left"/>
      </w:pPr>
      <w:r>
        <w:t xml:space="preserve">  </w:t>
      </w:r>
    </w:p>
    <w:p w:rsidR="00F0389E" w:rsidRDefault="00681324">
      <w:pPr>
        <w:ind w:left="689" w:right="697"/>
      </w:pPr>
      <w:r>
        <w:t>The application form is available from the address below and can be found on th</w:t>
      </w:r>
      <w:r>
        <w:t>e school website (</w:t>
      </w:r>
      <w:hyperlink r:id="rId8">
        <w:r>
          <w:rPr>
            <w:color w:val="0000FF"/>
            <w:u w:val="single" w:color="0000FF"/>
          </w:rPr>
          <w:t>http://www.nefuturesutc.co.uk</w:t>
        </w:r>
      </w:hyperlink>
      <w:hyperlink r:id="rId9">
        <w:r>
          <w:rPr>
            <w:color w:val="0000FF"/>
            <w:u w:val="single" w:color="0000FF"/>
          </w:rPr>
          <w:t>/</w:t>
        </w:r>
      </w:hyperlink>
      <w:hyperlink r:id="rId10">
        <w:r>
          <w:t>)</w:t>
        </w:r>
      </w:hyperlink>
      <w:hyperlink r:id="rId11">
        <w:r>
          <w:t>.</w:t>
        </w:r>
      </w:hyperlink>
      <w:r>
        <w:t xml:space="preserve">   </w:t>
      </w:r>
    </w:p>
    <w:p w:rsidR="00F0389E" w:rsidRDefault="00681324">
      <w:pPr>
        <w:spacing w:after="0" w:line="259" w:lineRule="auto"/>
        <w:ind w:left="708" w:firstLine="0"/>
        <w:jc w:val="left"/>
      </w:pPr>
      <w:r>
        <w:t xml:space="preserve">  </w:t>
      </w:r>
    </w:p>
    <w:p w:rsidR="00F0389E" w:rsidRDefault="00681324">
      <w:pPr>
        <w:ind w:left="689" w:right="697"/>
      </w:pPr>
      <w:r>
        <w:t xml:space="preserve">Applications should be sent to:  </w:t>
      </w:r>
    </w:p>
    <w:p w:rsidR="00F0389E" w:rsidRDefault="00681324">
      <w:pPr>
        <w:spacing w:after="0" w:line="259" w:lineRule="auto"/>
        <w:ind w:left="708" w:firstLine="0"/>
        <w:jc w:val="left"/>
      </w:pPr>
      <w:r>
        <w:t xml:space="preserve">  </w:t>
      </w:r>
    </w:p>
    <w:p w:rsidR="00F0389E" w:rsidRDefault="00681324">
      <w:pPr>
        <w:ind w:left="689" w:right="697"/>
      </w:pPr>
      <w:r>
        <w:t xml:space="preserve">The Principal,  </w:t>
      </w:r>
    </w:p>
    <w:p w:rsidR="00F0389E" w:rsidRDefault="00681324">
      <w:pPr>
        <w:ind w:left="689" w:right="697"/>
      </w:pPr>
      <w:r>
        <w:t xml:space="preserve">North East Futures UTC, </w:t>
      </w:r>
    </w:p>
    <w:p w:rsidR="00F0389E" w:rsidRDefault="00681324">
      <w:pPr>
        <w:ind w:left="689" w:right="697"/>
      </w:pPr>
      <w:r>
        <w:t xml:space="preserve">Hawthorn Square,  </w:t>
      </w:r>
    </w:p>
    <w:p w:rsidR="00F0389E" w:rsidRDefault="00681324">
      <w:pPr>
        <w:ind w:left="689" w:right="697"/>
      </w:pPr>
      <w:proofErr w:type="spellStart"/>
      <w:r>
        <w:t>Forth</w:t>
      </w:r>
      <w:proofErr w:type="spellEnd"/>
      <w:r>
        <w:t xml:space="preserve"> Street,  </w:t>
      </w:r>
    </w:p>
    <w:p w:rsidR="00F0389E" w:rsidRDefault="00681324">
      <w:pPr>
        <w:ind w:left="689" w:right="697"/>
      </w:pPr>
      <w:r>
        <w:t xml:space="preserve">Newcastle upon Tyne,  </w:t>
      </w:r>
    </w:p>
    <w:p w:rsidR="00F0389E" w:rsidRDefault="00681324">
      <w:pPr>
        <w:ind w:left="689" w:right="697"/>
      </w:pPr>
      <w:r>
        <w:t xml:space="preserve">NE1 3AS </w:t>
      </w:r>
    </w:p>
    <w:p w:rsidR="00F0389E" w:rsidRDefault="00681324">
      <w:pPr>
        <w:spacing w:after="0" w:line="259" w:lineRule="auto"/>
        <w:ind w:left="708" w:firstLine="0"/>
        <w:jc w:val="left"/>
      </w:pPr>
      <w:r>
        <w:t xml:space="preserve">  </w:t>
      </w:r>
    </w:p>
    <w:p w:rsidR="00F0389E" w:rsidRDefault="00681324">
      <w:pPr>
        <w:ind w:left="689" w:right="697"/>
      </w:pPr>
      <w:r>
        <w:t xml:space="preserve">T:  0191 9179888  </w:t>
      </w:r>
    </w:p>
    <w:p w:rsidR="00F0389E" w:rsidRDefault="00681324">
      <w:pPr>
        <w:spacing w:after="0" w:line="259" w:lineRule="auto"/>
        <w:ind w:left="689"/>
        <w:jc w:val="left"/>
      </w:pPr>
      <w:r>
        <w:t xml:space="preserve">E:  </w:t>
      </w:r>
      <w:r>
        <w:rPr>
          <w:color w:val="0000FF"/>
          <w:u w:val="single" w:color="0000FF"/>
        </w:rPr>
        <w:t>info@nefuturesutc.co.uk</w:t>
      </w:r>
      <w:r>
        <w:t xml:space="preserve">  </w:t>
      </w:r>
    </w:p>
    <w:p w:rsidR="00F0389E" w:rsidRDefault="00681324">
      <w:pPr>
        <w:spacing w:after="0" w:line="259" w:lineRule="auto"/>
        <w:ind w:left="689"/>
        <w:jc w:val="left"/>
      </w:pPr>
      <w:r>
        <w:t xml:space="preserve">W: </w:t>
      </w:r>
      <w:hyperlink r:id="rId12">
        <w:r>
          <w:rPr>
            <w:color w:val="0000FF"/>
            <w:u w:val="single" w:color="0000FF"/>
          </w:rPr>
          <w:t>http</w:t>
        </w:r>
        <w:r>
          <w:rPr>
            <w:color w:val="0000FF"/>
            <w:u w:val="single" w:color="0000FF"/>
          </w:rPr>
          <w:t>://www.nefuturesutc.co.uk</w:t>
        </w:r>
      </w:hyperlink>
      <w:hyperlink r:id="rId13">
        <w:r>
          <w:rPr>
            <w:color w:val="0000FF"/>
            <w:u w:val="single" w:color="0000FF"/>
          </w:rPr>
          <w:t>/</w:t>
        </w:r>
      </w:hyperlink>
      <w:hyperlink r:id="rId14">
        <w:r>
          <w:t xml:space="preserve">  </w:t>
        </w:r>
      </w:hyperlink>
    </w:p>
    <w:p w:rsidR="00F0389E" w:rsidRDefault="00681324">
      <w:pPr>
        <w:spacing w:after="14" w:line="259" w:lineRule="auto"/>
        <w:ind w:left="708" w:firstLine="0"/>
        <w:jc w:val="left"/>
      </w:pPr>
      <w:r>
        <w:t xml:space="preserve">  </w:t>
      </w:r>
    </w:p>
    <w:p w:rsidR="00F0389E" w:rsidRDefault="00681324">
      <w:pPr>
        <w:ind w:left="689" w:right="697"/>
      </w:pPr>
      <w:r>
        <w:t>The closing date for the applications is: midday on 31</w:t>
      </w:r>
      <w:r>
        <w:rPr>
          <w:vertAlign w:val="superscript"/>
        </w:rPr>
        <w:t>st</w:t>
      </w:r>
      <w:r w:rsidR="00B037C0">
        <w:t xml:space="preserve"> January 2022</w:t>
      </w:r>
    </w:p>
    <w:p w:rsidR="00F0389E" w:rsidRDefault="00681324">
      <w:pPr>
        <w:spacing w:after="12" w:line="259" w:lineRule="auto"/>
        <w:ind w:left="708" w:firstLine="0"/>
        <w:jc w:val="left"/>
      </w:pPr>
      <w:r>
        <w:t xml:space="preserve">  </w:t>
      </w:r>
    </w:p>
    <w:p w:rsidR="00F0389E" w:rsidRDefault="00681324">
      <w:pPr>
        <w:ind w:left="689" w:right="697"/>
      </w:pPr>
      <w:r>
        <w:t xml:space="preserve">Offers will be made on: </w:t>
      </w:r>
    </w:p>
    <w:p w:rsidR="00F0389E" w:rsidRDefault="00681324">
      <w:pPr>
        <w:spacing w:after="12" w:line="259" w:lineRule="auto"/>
        <w:ind w:left="708" w:firstLine="0"/>
        <w:jc w:val="left"/>
      </w:pPr>
      <w:r>
        <w:t xml:space="preserve">  </w:t>
      </w:r>
    </w:p>
    <w:p w:rsidR="00F0389E" w:rsidRDefault="00681324">
      <w:pPr>
        <w:ind w:left="689" w:right="697"/>
      </w:pPr>
      <w:r>
        <w:t xml:space="preserve">Acceptances must be received by: </w:t>
      </w:r>
    </w:p>
    <w:p w:rsidR="00F0389E" w:rsidRDefault="00681324">
      <w:pPr>
        <w:spacing w:after="0" w:line="259" w:lineRule="auto"/>
        <w:ind w:left="694" w:firstLine="0"/>
        <w:jc w:val="left"/>
      </w:pPr>
      <w:r>
        <w:t xml:space="preserve"> </w:t>
      </w:r>
    </w:p>
    <w:p w:rsidR="00F0389E" w:rsidRDefault="00681324">
      <w:pPr>
        <w:ind w:left="689" w:right="697"/>
      </w:pPr>
      <w:r>
        <w:t xml:space="preserve">The UTC runs a series of induction events for students who have applied for a place. </w:t>
      </w:r>
    </w:p>
    <w:p w:rsidR="00F0389E" w:rsidRDefault="00681324">
      <w:pPr>
        <w:spacing w:after="14" w:line="259" w:lineRule="auto"/>
        <w:ind w:left="708" w:firstLine="0"/>
        <w:jc w:val="left"/>
      </w:pPr>
      <w:r>
        <w:t xml:space="preserve"> </w:t>
      </w:r>
    </w:p>
    <w:p w:rsidR="00F0389E" w:rsidRDefault="00681324">
      <w:pPr>
        <w:pStyle w:val="Heading1"/>
        <w:ind w:left="689"/>
      </w:pPr>
      <w:r>
        <w:rPr>
          <w:sz w:val="22"/>
          <w:u w:val="none"/>
        </w:rPr>
        <w:t>4</w:t>
      </w:r>
      <w:r>
        <w:rPr>
          <w:u w:val="none"/>
        </w:rPr>
        <w:t xml:space="preserve">.  </w:t>
      </w:r>
      <w:r>
        <w:t>Academic entry criteria for year 12</w:t>
      </w:r>
      <w:r>
        <w:rPr>
          <w:b w:val="0"/>
          <w:u w:val="none"/>
        </w:rPr>
        <w:t xml:space="preserve"> </w:t>
      </w:r>
      <w:r>
        <w:rPr>
          <w:u w:val="none"/>
        </w:rPr>
        <w:t xml:space="preserve"> </w:t>
      </w:r>
    </w:p>
    <w:p w:rsidR="00F0389E" w:rsidRDefault="00681324">
      <w:pPr>
        <w:spacing w:after="0" w:line="259" w:lineRule="auto"/>
        <w:ind w:left="708" w:firstLine="0"/>
        <w:jc w:val="left"/>
      </w:pPr>
      <w:r>
        <w:rPr>
          <w:b/>
          <w:i/>
          <w:color w:val="E36C0A"/>
          <w:sz w:val="24"/>
        </w:rPr>
        <w:t xml:space="preserve"> </w:t>
      </w:r>
      <w:r>
        <w:t xml:space="preserve"> </w:t>
      </w:r>
    </w:p>
    <w:p w:rsidR="00F0389E" w:rsidRDefault="00681324">
      <w:pPr>
        <w:spacing w:after="5" w:line="239" w:lineRule="auto"/>
        <w:ind w:left="699" w:right="615" w:hanging="20"/>
        <w:jc w:val="left"/>
      </w:pPr>
      <w:r>
        <w:t>In order to be eligible for entry or progression into year 12, applican</w:t>
      </w:r>
      <w:r>
        <w:t xml:space="preserve">ts and our own year 11 students will normally be required to have met the following academic entry criteria to complete our Level 3 programme:  </w:t>
      </w:r>
    </w:p>
    <w:p w:rsidR="00F0389E" w:rsidRDefault="00681324">
      <w:pPr>
        <w:spacing w:after="0" w:line="259" w:lineRule="auto"/>
        <w:ind w:left="708" w:firstLine="0"/>
        <w:jc w:val="left"/>
      </w:pPr>
      <w:r>
        <w:t xml:space="preserve">  </w:t>
      </w:r>
    </w:p>
    <w:p w:rsidR="00F0389E" w:rsidRDefault="00681324">
      <w:pPr>
        <w:ind w:left="689" w:right="697"/>
      </w:pPr>
      <w:r>
        <w:t xml:space="preserve">Five GCSE passes including English and Maths at Grade 9-4 under the new GCSE grading system.  </w:t>
      </w:r>
    </w:p>
    <w:p w:rsidR="00F0389E" w:rsidRDefault="00681324">
      <w:pPr>
        <w:spacing w:after="0" w:line="259" w:lineRule="auto"/>
        <w:ind w:left="708" w:firstLine="0"/>
        <w:jc w:val="left"/>
      </w:pPr>
      <w:r>
        <w:t xml:space="preserve">  </w:t>
      </w:r>
    </w:p>
    <w:p w:rsidR="00F0389E" w:rsidRDefault="00681324">
      <w:pPr>
        <w:ind w:left="689" w:right="697"/>
      </w:pPr>
      <w:r>
        <w:t>In additio</w:t>
      </w:r>
      <w:r>
        <w:t xml:space="preserve">n to these academic entry/progression criteria, the UTC may also have additional academic criteria for some subjects.   </w:t>
      </w:r>
    </w:p>
    <w:p w:rsidR="00F0389E" w:rsidRDefault="00681324">
      <w:pPr>
        <w:spacing w:after="0" w:line="259" w:lineRule="auto"/>
        <w:ind w:left="708" w:firstLine="0"/>
        <w:jc w:val="left"/>
      </w:pPr>
      <w:r>
        <w:t xml:space="preserve">  </w:t>
      </w:r>
    </w:p>
    <w:p w:rsidR="00F0389E" w:rsidRDefault="00681324">
      <w:pPr>
        <w:ind w:left="689" w:right="697"/>
      </w:pPr>
      <w:r>
        <w:t xml:space="preserve">The UTC may offer Level 2 pathways for students who do not reach the entry criteria for the Level 3 programme. </w:t>
      </w:r>
    </w:p>
    <w:p w:rsidR="00F0389E" w:rsidRDefault="00681324">
      <w:pPr>
        <w:spacing w:after="0" w:line="259" w:lineRule="auto"/>
        <w:ind w:left="708" w:firstLine="0"/>
        <w:jc w:val="left"/>
      </w:pPr>
      <w:r>
        <w:t xml:space="preserve">  </w:t>
      </w:r>
    </w:p>
    <w:p w:rsidR="00F0389E" w:rsidRDefault="00681324">
      <w:pPr>
        <w:spacing w:after="0" w:line="259" w:lineRule="auto"/>
        <w:ind w:left="708" w:firstLine="0"/>
        <w:jc w:val="left"/>
      </w:pPr>
      <w:r>
        <w:t xml:space="preserve">  </w:t>
      </w:r>
    </w:p>
    <w:p w:rsidR="00F0389E" w:rsidRDefault="00681324">
      <w:pPr>
        <w:spacing w:after="0" w:line="259" w:lineRule="auto"/>
        <w:ind w:left="708" w:firstLine="0"/>
        <w:jc w:val="left"/>
      </w:pPr>
      <w:r>
        <w:t xml:space="preserve">  </w:t>
      </w:r>
    </w:p>
    <w:p w:rsidR="00F0389E" w:rsidRDefault="00681324">
      <w:pPr>
        <w:spacing w:after="0" w:line="259" w:lineRule="auto"/>
        <w:ind w:left="708" w:firstLine="0"/>
        <w:jc w:val="left"/>
      </w:pPr>
      <w:r>
        <w:t xml:space="preserve">  </w:t>
      </w:r>
    </w:p>
    <w:p w:rsidR="00F0389E" w:rsidRDefault="00681324">
      <w:pPr>
        <w:spacing w:after="0" w:line="259" w:lineRule="auto"/>
        <w:ind w:left="708" w:firstLine="0"/>
        <w:jc w:val="left"/>
      </w:pPr>
      <w:r>
        <w:lastRenderedPageBreak/>
        <w:t xml:space="preserve">  </w:t>
      </w:r>
    </w:p>
    <w:p w:rsidR="00F0389E" w:rsidRDefault="00681324">
      <w:pPr>
        <w:spacing w:after="0" w:line="259" w:lineRule="auto"/>
        <w:ind w:left="776" w:firstLine="0"/>
        <w:jc w:val="left"/>
      </w:pPr>
      <w:r>
        <w:t xml:space="preserve"> </w:t>
      </w:r>
    </w:p>
    <w:p w:rsidR="00F0389E" w:rsidRDefault="00681324">
      <w:pPr>
        <w:spacing w:after="0" w:line="259" w:lineRule="auto"/>
        <w:ind w:left="776" w:firstLine="0"/>
        <w:jc w:val="left"/>
      </w:pPr>
      <w:r>
        <w:t xml:space="preserve"> </w:t>
      </w:r>
    </w:p>
    <w:p w:rsidR="00F0389E" w:rsidRDefault="00681324">
      <w:pPr>
        <w:spacing w:after="0" w:line="259" w:lineRule="auto"/>
        <w:ind w:left="708" w:firstLine="0"/>
        <w:jc w:val="left"/>
      </w:pPr>
      <w:r>
        <w:t xml:space="preserve">  </w:t>
      </w:r>
    </w:p>
    <w:p w:rsidR="00F0389E" w:rsidRDefault="00681324">
      <w:pPr>
        <w:spacing w:after="0" w:line="259" w:lineRule="auto"/>
        <w:ind w:left="708" w:firstLine="0"/>
        <w:jc w:val="left"/>
      </w:pPr>
      <w:r>
        <w:t xml:space="preserve">  </w:t>
      </w:r>
    </w:p>
    <w:p w:rsidR="00F0389E" w:rsidRDefault="00681324">
      <w:pPr>
        <w:spacing w:after="25" w:line="259" w:lineRule="auto"/>
        <w:ind w:left="708" w:firstLine="0"/>
        <w:jc w:val="left"/>
      </w:pPr>
      <w:r>
        <w:t xml:space="preserve">  </w:t>
      </w:r>
    </w:p>
    <w:p w:rsidR="00F0389E" w:rsidRDefault="00681324">
      <w:pPr>
        <w:spacing w:after="0" w:line="259" w:lineRule="auto"/>
        <w:ind w:left="708" w:firstLine="0"/>
        <w:jc w:val="left"/>
      </w:pPr>
      <w:r>
        <w:rPr>
          <w:sz w:val="24"/>
        </w:rPr>
        <w:t xml:space="preserve">5.  </w:t>
      </w:r>
      <w:r>
        <w:rPr>
          <w:b/>
          <w:u w:val="single" w:color="000000"/>
        </w:rPr>
        <w:t>Oversubscription criteria for year 10</w:t>
      </w:r>
      <w:r w:rsidR="00B037C0">
        <w:rPr>
          <w:b/>
          <w:u w:val="single" w:color="000000"/>
        </w:rPr>
        <w:t>, year 7</w:t>
      </w:r>
      <w:r>
        <w:rPr>
          <w:b/>
          <w:u w:val="single" w:color="000000"/>
        </w:rPr>
        <w:t xml:space="preserve"> and eligible year 12 applicants</w:t>
      </w:r>
      <w:r>
        <w:t xml:space="preserve">  </w:t>
      </w:r>
    </w:p>
    <w:p w:rsidR="00F0389E" w:rsidRDefault="00681324">
      <w:pPr>
        <w:spacing w:after="0" w:line="259" w:lineRule="auto"/>
        <w:ind w:left="708" w:firstLine="0"/>
        <w:jc w:val="left"/>
      </w:pPr>
      <w:r>
        <w:t xml:space="preserve">  </w:t>
      </w:r>
    </w:p>
    <w:p w:rsidR="00F0389E" w:rsidRDefault="00681324">
      <w:pPr>
        <w:ind w:left="689" w:right="697"/>
      </w:pPr>
      <w:r>
        <w:t xml:space="preserve">When the UTC is oversubscribed, after students with an Education, Health and Care Plan naming the school have been awarded a place, priority for admission will be given to those children who meet the criteria set out below, in priority order:  </w:t>
      </w:r>
    </w:p>
    <w:p w:rsidR="00F0389E" w:rsidRDefault="00681324">
      <w:pPr>
        <w:spacing w:after="0" w:line="259" w:lineRule="auto"/>
        <w:ind w:left="0" w:firstLine="0"/>
        <w:jc w:val="left"/>
      </w:pPr>
      <w:r>
        <w:rPr>
          <w:i/>
          <w:color w:val="E36C0A"/>
        </w:rPr>
        <w:t xml:space="preserve"> </w:t>
      </w:r>
      <w:r>
        <w:t xml:space="preserve"> </w:t>
      </w:r>
    </w:p>
    <w:p w:rsidR="00F0389E" w:rsidRDefault="00681324">
      <w:pPr>
        <w:ind w:left="689" w:right="697"/>
      </w:pPr>
      <w:r>
        <w:rPr>
          <w:b/>
        </w:rPr>
        <w:t>Criter</w:t>
      </w:r>
      <w:r>
        <w:rPr>
          <w:b/>
        </w:rPr>
        <w:t>ion 1</w:t>
      </w:r>
      <w:r>
        <w:t xml:space="preserve">: Children in Public Care (Looked </w:t>
      </w:r>
      <w:proofErr w:type="gramStart"/>
      <w:r>
        <w:t>After</w:t>
      </w:r>
      <w:proofErr w:type="gramEnd"/>
      <w:r>
        <w:t xml:space="preserve"> Children) or who have previously been looked after by an English local authority but immediately afterwards were adopted. ‘Adopted’ includes being subject to a child’s arrangements order or special guardianship </w:t>
      </w:r>
      <w:r>
        <w:t xml:space="preserve">order;  </w:t>
      </w:r>
    </w:p>
    <w:p w:rsidR="00F0389E" w:rsidRDefault="00681324">
      <w:pPr>
        <w:spacing w:after="0" w:line="259" w:lineRule="auto"/>
        <w:ind w:left="708" w:firstLine="0"/>
        <w:jc w:val="left"/>
      </w:pPr>
      <w:r>
        <w:t xml:space="preserve">  </w:t>
      </w:r>
    </w:p>
    <w:p w:rsidR="00F0389E" w:rsidRDefault="00681324">
      <w:pPr>
        <w:ind w:left="689" w:right="697"/>
      </w:pPr>
      <w:r>
        <w:rPr>
          <w:b/>
        </w:rPr>
        <w:t>Criterion 2</w:t>
      </w:r>
      <w:r>
        <w:t xml:space="preserve">: Children living within the catchment area set out in the appendix at the end of this document prioritised in the following order  </w:t>
      </w:r>
    </w:p>
    <w:p w:rsidR="00F0389E" w:rsidRDefault="00681324">
      <w:pPr>
        <w:spacing w:after="43" w:line="259" w:lineRule="auto"/>
        <w:ind w:left="708" w:firstLine="0"/>
        <w:jc w:val="left"/>
      </w:pPr>
      <w:r>
        <w:t xml:space="preserve">  </w:t>
      </w:r>
    </w:p>
    <w:p w:rsidR="00F0389E" w:rsidRDefault="00681324">
      <w:pPr>
        <w:numPr>
          <w:ilvl w:val="0"/>
          <w:numId w:val="1"/>
        </w:numPr>
        <w:spacing w:after="57"/>
        <w:ind w:right="697" w:hanging="720"/>
      </w:pPr>
      <w:r>
        <w:t xml:space="preserve">Children with a sibling* who has been given a place at North East Futures UTC  </w:t>
      </w:r>
    </w:p>
    <w:p w:rsidR="00F0389E" w:rsidRDefault="00681324">
      <w:pPr>
        <w:numPr>
          <w:ilvl w:val="0"/>
          <w:numId w:val="1"/>
        </w:numPr>
        <w:ind w:right="697" w:hanging="720"/>
      </w:pPr>
      <w:r>
        <w:t xml:space="preserve">Children residing within the identified Local Authority areas that surround North East Futures UTC – Darlington, Durham, Gateshead, Hartlepool, Newcastle, North Tyneside, Northumberland, South Tyneside and Sunderland.   </w:t>
      </w:r>
    </w:p>
    <w:p w:rsidR="00F0389E" w:rsidRDefault="00681324">
      <w:pPr>
        <w:spacing w:after="0" w:line="259" w:lineRule="auto"/>
        <w:ind w:left="708" w:firstLine="0"/>
        <w:jc w:val="left"/>
      </w:pPr>
      <w:r>
        <w:t xml:space="preserve">  </w:t>
      </w:r>
    </w:p>
    <w:p w:rsidR="00F0389E" w:rsidRDefault="00681324">
      <w:pPr>
        <w:ind w:left="689" w:right="697"/>
      </w:pPr>
      <w:r>
        <w:rPr>
          <w:b/>
        </w:rPr>
        <w:t>Criterion 3:</w:t>
      </w:r>
      <w:r>
        <w:t xml:space="preserve"> Children living out</w:t>
      </w:r>
      <w:r>
        <w:t xml:space="preserve">side those areas identified in Criterion 2   </w:t>
      </w:r>
    </w:p>
    <w:p w:rsidR="00F0389E" w:rsidRDefault="00681324">
      <w:pPr>
        <w:spacing w:after="14" w:line="259" w:lineRule="auto"/>
        <w:ind w:left="708" w:firstLine="0"/>
        <w:jc w:val="left"/>
      </w:pPr>
      <w:r>
        <w:t xml:space="preserve">  </w:t>
      </w:r>
    </w:p>
    <w:p w:rsidR="00F0389E" w:rsidRDefault="00681324">
      <w:pPr>
        <w:pStyle w:val="Heading1"/>
        <w:ind w:left="689"/>
      </w:pPr>
      <w:r>
        <w:rPr>
          <w:b w:val="0"/>
          <w:u w:val="none"/>
        </w:rPr>
        <w:t xml:space="preserve">7.  </w:t>
      </w:r>
      <w:r>
        <w:t>Tie Break</w:t>
      </w:r>
      <w:r>
        <w:rPr>
          <w:b w:val="0"/>
          <w:u w:val="none"/>
        </w:rPr>
        <w:t xml:space="preserve"> </w:t>
      </w:r>
      <w:r>
        <w:rPr>
          <w:u w:val="none"/>
        </w:rPr>
        <w:t xml:space="preserve"> </w:t>
      </w:r>
    </w:p>
    <w:p w:rsidR="00F0389E" w:rsidRDefault="00681324">
      <w:pPr>
        <w:spacing w:after="0" w:line="259" w:lineRule="auto"/>
        <w:ind w:left="708" w:firstLine="0"/>
        <w:jc w:val="left"/>
      </w:pPr>
      <w:r>
        <w:rPr>
          <w:color w:val="FF0000"/>
        </w:rPr>
        <w:t xml:space="preserve"> </w:t>
      </w:r>
      <w:r>
        <w:t xml:space="preserve"> </w:t>
      </w:r>
    </w:p>
    <w:p w:rsidR="00F0389E" w:rsidRDefault="00681324">
      <w:pPr>
        <w:ind w:left="689" w:right="697"/>
      </w:pPr>
      <w:r>
        <w:t>In the event of two or more applications that cannot otherwise be separated, random allocation** will be used as a tie-break.  All processes of random allocation under these arrangements w</w:t>
      </w:r>
      <w:r>
        <w:t>ill be supervised by someone independent of North East Futures UTC.</w:t>
      </w:r>
      <w:r>
        <w:rPr>
          <w:i/>
          <w:color w:val="E36C0A"/>
        </w:rPr>
        <w:t xml:space="preserve"> </w:t>
      </w:r>
      <w:r>
        <w:t xml:space="preserve"> </w:t>
      </w:r>
    </w:p>
    <w:p w:rsidR="00F0389E" w:rsidRDefault="00681324">
      <w:pPr>
        <w:spacing w:after="14" w:line="259" w:lineRule="auto"/>
        <w:ind w:left="708" w:firstLine="0"/>
        <w:jc w:val="left"/>
      </w:pPr>
      <w:r>
        <w:rPr>
          <w:i/>
          <w:color w:val="76923C"/>
        </w:rPr>
        <w:t xml:space="preserve"> </w:t>
      </w:r>
      <w:r>
        <w:t xml:space="preserve"> </w:t>
      </w:r>
    </w:p>
    <w:p w:rsidR="00F0389E" w:rsidRDefault="00681324">
      <w:pPr>
        <w:pStyle w:val="Heading1"/>
        <w:ind w:left="689"/>
      </w:pPr>
      <w:r>
        <w:rPr>
          <w:b w:val="0"/>
          <w:u w:val="none"/>
        </w:rPr>
        <w:t xml:space="preserve">8.  </w:t>
      </w:r>
      <w:r>
        <w:t>Late Applications</w:t>
      </w:r>
      <w:r>
        <w:rPr>
          <w:u w:val="none"/>
        </w:rPr>
        <w:t xml:space="preserve">   </w:t>
      </w:r>
    </w:p>
    <w:p w:rsidR="00F0389E" w:rsidRDefault="00681324">
      <w:pPr>
        <w:spacing w:after="0" w:line="259" w:lineRule="auto"/>
        <w:ind w:left="708" w:firstLine="0"/>
        <w:jc w:val="left"/>
      </w:pPr>
      <w:r>
        <w:rPr>
          <w:sz w:val="24"/>
        </w:rPr>
        <w:t xml:space="preserve"> </w:t>
      </w:r>
      <w:r>
        <w:t xml:space="preserve"> </w:t>
      </w:r>
    </w:p>
    <w:p w:rsidR="00F0389E" w:rsidRDefault="00681324">
      <w:pPr>
        <w:ind w:left="689" w:right="697"/>
      </w:pPr>
      <w:r>
        <w:t>Applications received by the UTC after the identified deadline will be considered to be late applications.  Late applications will be considered after thos</w:t>
      </w:r>
      <w:r>
        <w:t xml:space="preserve">e received on time.  If, following consideration of all applicants the UTC is oversubscribed, parents and carers may request that their child is placed on the waiting list.  </w:t>
      </w:r>
    </w:p>
    <w:p w:rsidR="00F0389E" w:rsidRDefault="00681324">
      <w:pPr>
        <w:spacing w:after="0" w:line="259" w:lineRule="auto"/>
        <w:ind w:left="708" w:firstLine="0"/>
        <w:jc w:val="left"/>
      </w:pPr>
      <w:r>
        <w:rPr>
          <w:sz w:val="24"/>
        </w:rPr>
        <w:t xml:space="preserve"> </w:t>
      </w:r>
      <w:r>
        <w:t xml:space="preserve"> </w:t>
      </w:r>
    </w:p>
    <w:p w:rsidR="00F0389E" w:rsidRDefault="00681324">
      <w:pPr>
        <w:pStyle w:val="Heading1"/>
        <w:ind w:left="689"/>
      </w:pPr>
      <w:r>
        <w:rPr>
          <w:u w:val="none"/>
        </w:rPr>
        <w:t>11.</w:t>
      </w:r>
      <w:r>
        <w:rPr>
          <w:b w:val="0"/>
          <w:u w:val="none"/>
        </w:rPr>
        <w:t xml:space="preserve">  </w:t>
      </w:r>
      <w:r>
        <w:t>Admission of children outside their normal age group</w:t>
      </w:r>
      <w:r>
        <w:rPr>
          <w:u w:val="none"/>
        </w:rPr>
        <w:t xml:space="preserve">  </w:t>
      </w:r>
    </w:p>
    <w:p w:rsidR="00F0389E" w:rsidRDefault="00681324">
      <w:pPr>
        <w:spacing w:after="0" w:line="259" w:lineRule="auto"/>
        <w:ind w:left="708" w:firstLine="0"/>
        <w:jc w:val="left"/>
      </w:pPr>
      <w:r>
        <w:rPr>
          <w:b/>
          <w:sz w:val="24"/>
        </w:rPr>
        <w:t xml:space="preserve"> </w:t>
      </w:r>
      <w:r>
        <w:t xml:space="preserve"> </w:t>
      </w:r>
    </w:p>
    <w:p w:rsidR="00F0389E" w:rsidRDefault="00681324">
      <w:pPr>
        <w:spacing w:after="5" w:line="239" w:lineRule="auto"/>
        <w:ind w:left="699" w:right="615" w:hanging="20"/>
        <w:jc w:val="left"/>
      </w:pPr>
      <w:r>
        <w:t xml:space="preserve">Parents and carers may request that their child is admitted outside their normal age group.  When such a request is made, </w:t>
      </w:r>
      <w:r w:rsidR="00B037C0">
        <w:t>the Local Governing Body of NE Futures UTC</w:t>
      </w:r>
      <w:r>
        <w:t xml:space="preserve"> will make a decision on the basis of the circumstances of the case and in the best interests of the child concerned, taking </w:t>
      </w:r>
      <w:r>
        <w:t xml:space="preserve">into account the views of the Principal and any supporting evidence provided by the parent or carer.  </w:t>
      </w:r>
    </w:p>
    <w:p w:rsidR="00F0389E" w:rsidRDefault="00681324">
      <w:pPr>
        <w:spacing w:after="0" w:line="259" w:lineRule="auto"/>
        <w:ind w:left="708" w:firstLine="0"/>
        <w:jc w:val="left"/>
      </w:pPr>
      <w:r>
        <w:t xml:space="preserve">  </w:t>
      </w:r>
    </w:p>
    <w:p w:rsidR="00F0389E" w:rsidRDefault="00681324">
      <w:pPr>
        <w:spacing w:after="5" w:line="239" w:lineRule="auto"/>
        <w:ind w:left="699" w:right="615" w:hanging="20"/>
        <w:jc w:val="left"/>
      </w:pPr>
      <w:r>
        <w:lastRenderedPageBreak/>
        <w:t>The process for requesting such an admission is for the parent or carer to make a case for admission out of the normal age group.  This is usually com</w:t>
      </w:r>
      <w:r>
        <w:t xml:space="preserve">pleted through a meeting with the Principal or the Admissions Team. </w:t>
      </w:r>
    </w:p>
    <w:p w:rsidR="00B037C0" w:rsidRDefault="00B037C0">
      <w:pPr>
        <w:spacing w:after="5" w:line="239" w:lineRule="auto"/>
        <w:ind w:left="699" w:right="615" w:hanging="20"/>
        <w:jc w:val="left"/>
      </w:pPr>
    </w:p>
    <w:p w:rsidR="00F0389E" w:rsidRDefault="00681324">
      <w:pPr>
        <w:ind w:left="689" w:right="697"/>
      </w:pPr>
      <w:r>
        <w:t xml:space="preserve">The parent or carer will be notified of the decision within 2 working weeks (10 school days) of the request.  </w:t>
      </w:r>
    </w:p>
    <w:p w:rsidR="00F0389E" w:rsidRDefault="00681324">
      <w:pPr>
        <w:spacing w:after="0" w:line="259" w:lineRule="auto"/>
        <w:ind w:left="708" w:firstLine="0"/>
        <w:jc w:val="left"/>
      </w:pPr>
      <w:r>
        <w:t xml:space="preserve">  </w:t>
      </w:r>
    </w:p>
    <w:p w:rsidR="00F0389E" w:rsidRDefault="00681324">
      <w:pPr>
        <w:ind w:left="689" w:right="697"/>
      </w:pPr>
      <w:r>
        <w:t>If a request is refused, the child will still be considered for admission</w:t>
      </w:r>
      <w:r>
        <w:t xml:space="preserve"> to their normal age group.  </w:t>
      </w:r>
    </w:p>
    <w:p w:rsidR="00F0389E" w:rsidRDefault="00681324">
      <w:pPr>
        <w:spacing w:after="0" w:line="259" w:lineRule="auto"/>
        <w:ind w:left="708" w:firstLine="0"/>
        <w:jc w:val="left"/>
      </w:pPr>
      <w:r>
        <w:rPr>
          <w:b/>
          <w:sz w:val="24"/>
        </w:rPr>
        <w:t xml:space="preserve"> </w:t>
      </w:r>
      <w:r>
        <w:t xml:space="preserve"> </w:t>
      </w:r>
    </w:p>
    <w:p w:rsidR="00F0389E" w:rsidRDefault="00681324">
      <w:pPr>
        <w:spacing w:after="0" w:line="259" w:lineRule="auto"/>
        <w:ind w:left="708" w:firstLine="0"/>
        <w:jc w:val="left"/>
      </w:pPr>
      <w:r>
        <w:rPr>
          <w:b/>
          <w:sz w:val="24"/>
        </w:rPr>
        <w:t xml:space="preserve"> </w:t>
      </w:r>
      <w:r>
        <w:t xml:space="preserve"> </w:t>
      </w:r>
    </w:p>
    <w:p w:rsidR="00F0389E" w:rsidRDefault="00681324">
      <w:pPr>
        <w:pStyle w:val="Heading1"/>
        <w:ind w:left="689"/>
      </w:pPr>
      <w:r>
        <w:rPr>
          <w:u w:val="none"/>
        </w:rPr>
        <w:t xml:space="preserve">12. </w:t>
      </w:r>
      <w:r>
        <w:t>Waiting lists</w:t>
      </w:r>
      <w:r>
        <w:rPr>
          <w:u w:val="none"/>
        </w:rPr>
        <w:t xml:space="preserve">  </w:t>
      </w:r>
    </w:p>
    <w:p w:rsidR="00F0389E" w:rsidRDefault="00681324">
      <w:pPr>
        <w:spacing w:after="0" w:line="259" w:lineRule="auto"/>
        <w:ind w:left="708" w:firstLine="0"/>
        <w:jc w:val="left"/>
      </w:pPr>
      <w:r>
        <w:rPr>
          <w:sz w:val="24"/>
        </w:rPr>
        <w:t xml:space="preserve"> </w:t>
      </w:r>
      <w:r>
        <w:t xml:space="preserve"> </w:t>
      </w:r>
    </w:p>
    <w:p w:rsidR="00F0389E" w:rsidRDefault="00681324">
      <w:pPr>
        <w:ind w:left="689" w:right="697"/>
      </w:pPr>
      <w:r>
        <w:t>The UTC operates a waiting list for each year group.  Where in any year the UTC receives more applications for places than there are places available, a waiting list will operate until the end of t</w:t>
      </w:r>
      <w:r>
        <w:t xml:space="preserve">he academic year. This will be maintained by North East Futures UTC and it will be open to any parent or carer to ask for his or her child’s name to be placed on the waiting list, following an unsuccessful application.  </w:t>
      </w:r>
    </w:p>
    <w:p w:rsidR="00F0389E" w:rsidRDefault="00681324">
      <w:pPr>
        <w:spacing w:after="0" w:line="259" w:lineRule="auto"/>
        <w:ind w:left="708" w:firstLine="0"/>
        <w:jc w:val="left"/>
      </w:pPr>
      <w:r>
        <w:rPr>
          <w:sz w:val="24"/>
        </w:rPr>
        <w:t xml:space="preserve"> </w:t>
      </w:r>
      <w:r>
        <w:t xml:space="preserve"> </w:t>
      </w:r>
    </w:p>
    <w:p w:rsidR="00F0389E" w:rsidRDefault="00681324">
      <w:pPr>
        <w:ind w:left="689" w:right="697"/>
      </w:pPr>
      <w:r>
        <w:t>A child’s position on the waitin</w:t>
      </w:r>
      <w:r>
        <w:t>g list will be determined solely in accordance with the oversubscription criteria</w:t>
      </w:r>
      <w:r w:rsidR="00B037C0">
        <w:t xml:space="preserve"> given above</w:t>
      </w:r>
      <w:r>
        <w:t xml:space="preserve">.  When places become vacant they will be allocated to children on the waiting list according to the oversubscription criteria.  </w:t>
      </w:r>
    </w:p>
    <w:p w:rsidR="00F0389E" w:rsidRDefault="00681324">
      <w:pPr>
        <w:spacing w:after="0" w:line="259" w:lineRule="auto"/>
        <w:ind w:left="708" w:firstLine="0"/>
        <w:jc w:val="left"/>
      </w:pPr>
      <w:r>
        <w:rPr>
          <w:sz w:val="24"/>
        </w:rPr>
        <w:t xml:space="preserve"> </w:t>
      </w:r>
      <w:r>
        <w:t xml:space="preserve"> </w:t>
      </w:r>
    </w:p>
    <w:p w:rsidR="00F0389E" w:rsidRDefault="00681324">
      <w:pPr>
        <w:ind w:left="689" w:right="697"/>
      </w:pPr>
      <w:r>
        <w:t>Year 12 and 13 applicants will be required</w:t>
      </w:r>
      <w:r>
        <w:t xml:space="preserve"> to have achieved the minimum academic entry requirements</w:t>
      </w:r>
      <w:r w:rsidR="0055069C">
        <w:t xml:space="preserve"> for their intended courses</w:t>
      </w:r>
      <w:bookmarkStart w:id="0" w:name="_GoBack"/>
      <w:bookmarkEnd w:id="0"/>
      <w:r>
        <w:t xml:space="preserve"> to be placed on the waiting list.  </w:t>
      </w:r>
    </w:p>
    <w:p w:rsidR="00F0389E" w:rsidRDefault="00681324">
      <w:pPr>
        <w:spacing w:after="0" w:line="259" w:lineRule="auto"/>
        <w:ind w:left="708" w:firstLine="0"/>
        <w:jc w:val="left"/>
      </w:pPr>
      <w:r>
        <w:rPr>
          <w:b/>
          <w:color w:val="76923C"/>
          <w:sz w:val="24"/>
        </w:rPr>
        <w:t xml:space="preserve"> </w:t>
      </w:r>
      <w:r>
        <w:t xml:space="preserve"> </w:t>
      </w:r>
    </w:p>
    <w:p w:rsidR="00F0389E" w:rsidRDefault="00681324">
      <w:pPr>
        <w:pStyle w:val="Heading1"/>
        <w:ind w:left="689"/>
      </w:pPr>
      <w:r>
        <w:rPr>
          <w:u w:val="none"/>
        </w:rPr>
        <w:t xml:space="preserve">13. </w:t>
      </w:r>
      <w:r>
        <w:t>Appeals</w:t>
      </w:r>
      <w:r>
        <w:rPr>
          <w:u w:val="none"/>
        </w:rPr>
        <w:t xml:space="preserve">  </w:t>
      </w:r>
    </w:p>
    <w:p w:rsidR="00F0389E" w:rsidRDefault="00681324">
      <w:pPr>
        <w:spacing w:after="0" w:line="259" w:lineRule="auto"/>
        <w:ind w:left="708" w:firstLine="0"/>
        <w:jc w:val="left"/>
      </w:pPr>
      <w:r>
        <w:rPr>
          <w:sz w:val="24"/>
        </w:rPr>
        <w:t xml:space="preserve"> </w:t>
      </w:r>
      <w:r>
        <w:t xml:space="preserve"> </w:t>
      </w:r>
    </w:p>
    <w:p w:rsidR="00F0389E" w:rsidRDefault="00681324">
      <w:pPr>
        <w:ind w:left="689" w:right="697"/>
      </w:pPr>
      <w:r>
        <w:t xml:space="preserve">All applications refused a place have a right of appeal to an independent appeal panel constituted and operated in accordance with the School </w:t>
      </w:r>
      <w:r>
        <w:t xml:space="preserve">Admission Appeals Code.  </w:t>
      </w:r>
    </w:p>
    <w:p w:rsidR="00F0389E" w:rsidRDefault="00681324">
      <w:pPr>
        <w:spacing w:after="0" w:line="259" w:lineRule="auto"/>
        <w:ind w:left="708" w:firstLine="0"/>
        <w:jc w:val="left"/>
      </w:pPr>
      <w:r>
        <w:t xml:space="preserve">  </w:t>
      </w:r>
    </w:p>
    <w:p w:rsidR="00F0389E" w:rsidRDefault="00681324">
      <w:pPr>
        <w:spacing w:after="112"/>
        <w:ind w:left="689" w:right="697"/>
      </w:pPr>
      <w:r>
        <w:t xml:space="preserve">Parents and carers have 4 working weeks (20 school days) from the date of notification that their application was unsuccessful to lodge an appeal.  </w:t>
      </w:r>
    </w:p>
    <w:p w:rsidR="00F0389E" w:rsidRDefault="00681324">
      <w:pPr>
        <w:spacing w:after="0" w:line="259" w:lineRule="auto"/>
        <w:ind w:left="708" w:firstLine="0"/>
        <w:jc w:val="left"/>
      </w:pPr>
      <w:r>
        <w:t xml:space="preserve">  </w:t>
      </w:r>
    </w:p>
    <w:p w:rsidR="00F0389E" w:rsidRDefault="00681324">
      <w:pPr>
        <w:ind w:left="689" w:right="697"/>
      </w:pPr>
      <w:r>
        <w:t xml:space="preserve">Parents or carers wishing to appeal should send their appeal to </w:t>
      </w:r>
      <w:r w:rsidR="00B037C0">
        <w:t xml:space="preserve">the Clerk of the Appeal Panel, </w:t>
      </w:r>
      <w:r>
        <w:t xml:space="preserve">North East Futures UTC, Hawthorn Square, </w:t>
      </w:r>
      <w:proofErr w:type="spellStart"/>
      <w:r>
        <w:t>Forth</w:t>
      </w:r>
      <w:proofErr w:type="spellEnd"/>
      <w:r>
        <w:t xml:space="preserve"> </w:t>
      </w:r>
      <w:proofErr w:type="gramStart"/>
      <w:r>
        <w:t>street</w:t>
      </w:r>
      <w:proofErr w:type="gramEnd"/>
      <w:r>
        <w:t xml:space="preserve">, Newcastle upon Tyne, NE1 3AS </w:t>
      </w:r>
    </w:p>
    <w:p w:rsidR="00F0389E" w:rsidRDefault="00681324">
      <w:pPr>
        <w:spacing w:after="0" w:line="259" w:lineRule="auto"/>
        <w:ind w:left="708" w:firstLine="0"/>
        <w:jc w:val="left"/>
      </w:pPr>
      <w:r>
        <w:rPr>
          <w:b/>
          <w:i/>
          <w:color w:val="E36C0A"/>
        </w:rPr>
        <w:t xml:space="preserve"> </w:t>
      </w:r>
      <w:r>
        <w:t xml:space="preserve"> </w:t>
      </w:r>
    </w:p>
    <w:p w:rsidR="00F0389E" w:rsidRDefault="00681324">
      <w:pPr>
        <w:ind w:left="689" w:right="697"/>
      </w:pPr>
      <w:r>
        <w:t xml:space="preserve">Information on the timetable for the appeals process </w:t>
      </w:r>
      <w:r w:rsidR="00B037C0">
        <w:t>is</w:t>
      </w:r>
      <w:r>
        <w:t xml:space="preserve"> published </w:t>
      </w:r>
      <w:r>
        <w:t>on our website at:</w:t>
      </w:r>
      <w:hyperlink r:id="rId15">
        <w:r>
          <w:t xml:space="preserve"> </w:t>
        </w:r>
      </w:hyperlink>
      <w:hyperlink r:id="rId16">
        <w:r>
          <w:rPr>
            <w:color w:val="0000FF"/>
            <w:u w:val="single" w:color="0000FF"/>
          </w:rPr>
          <w:t>http://www.nefuturesutc.co.u</w:t>
        </w:r>
      </w:hyperlink>
      <w:hyperlink r:id="rId17">
        <w:r>
          <w:rPr>
            <w:color w:val="0000FF"/>
            <w:u w:val="single" w:color="0000FF"/>
          </w:rPr>
          <w:t>k</w:t>
        </w:r>
      </w:hyperlink>
      <w:hyperlink r:id="rId18">
        <w:r>
          <w:t xml:space="preserve">  </w:t>
        </w:r>
      </w:hyperlink>
      <w:r>
        <w:t xml:space="preserve">  </w:t>
      </w:r>
    </w:p>
    <w:p w:rsidR="00F0389E" w:rsidRDefault="00681324">
      <w:pPr>
        <w:spacing w:after="14" w:line="259" w:lineRule="auto"/>
        <w:ind w:left="708" w:firstLine="0"/>
        <w:jc w:val="left"/>
      </w:pPr>
      <w:r>
        <w:t xml:space="preserve">  </w:t>
      </w:r>
    </w:p>
    <w:p w:rsidR="00F0389E" w:rsidRDefault="00681324">
      <w:pPr>
        <w:pStyle w:val="Heading1"/>
        <w:ind w:left="689"/>
      </w:pPr>
      <w:r>
        <w:rPr>
          <w:b w:val="0"/>
          <w:sz w:val="22"/>
          <w:u w:val="none"/>
        </w:rPr>
        <w:t>*</w:t>
      </w:r>
      <w:r>
        <w:t>Sibling</w:t>
      </w:r>
      <w:r>
        <w:rPr>
          <w:b w:val="0"/>
          <w:sz w:val="22"/>
          <w:u w:val="none"/>
        </w:rPr>
        <w:t xml:space="preserve">  </w:t>
      </w:r>
      <w:r>
        <w:rPr>
          <w:u w:val="none"/>
        </w:rPr>
        <w:t xml:space="preserve"> </w:t>
      </w:r>
    </w:p>
    <w:p w:rsidR="00F0389E" w:rsidRDefault="00681324">
      <w:pPr>
        <w:spacing w:after="0" w:line="259" w:lineRule="auto"/>
        <w:ind w:left="708" w:firstLine="0"/>
        <w:jc w:val="left"/>
      </w:pPr>
      <w:r>
        <w:t xml:space="preserve">  </w:t>
      </w:r>
    </w:p>
    <w:p w:rsidR="00F0389E" w:rsidRDefault="00681324">
      <w:pPr>
        <w:ind w:left="689" w:right="697"/>
      </w:pPr>
      <w:r>
        <w:t>Sibling means a natural brother or sister, a half brother or sister, a legally adopted brother or sister or half-brother or sister, a step brother or sister or other child living in the same household as part of the same family who, in any o</w:t>
      </w:r>
      <w:r>
        <w:t xml:space="preserve">f these cases, will be living at the same address at the date of their application for a place.  </w:t>
      </w:r>
    </w:p>
    <w:p w:rsidR="00F0389E" w:rsidRDefault="00681324">
      <w:pPr>
        <w:spacing w:after="15" w:line="259" w:lineRule="auto"/>
        <w:ind w:left="708" w:firstLine="0"/>
        <w:jc w:val="left"/>
      </w:pPr>
      <w:r>
        <w:t xml:space="preserve">  </w:t>
      </w:r>
    </w:p>
    <w:p w:rsidR="00F0389E" w:rsidRDefault="00681324">
      <w:pPr>
        <w:spacing w:after="0" w:line="259" w:lineRule="auto"/>
        <w:ind w:left="689"/>
        <w:jc w:val="left"/>
      </w:pPr>
      <w:r>
        <w:t>**</w:t>
      </w:r>
      <w:r>
        <w:rPr>
          <w:b/>
          <w:sz w:val="24"/>
          <w:u w:val="single" w:color="000000"/>
        </w:rPr>
        <w:t>Random Allocation</w:t>
      </w:r>
      <w:r>
        <w:t xml:space="preserve">  </w:t>
      </w:r>
    </w:p>
    <w:p w:rsidR="00F0389E" w:rsidRDefault="00681324">
      <w:pPr>
        <w:spacing w:after="0" w:line="259" w:lineRule="auto"/>
        <w:ind w:left="708" w:firstLine="0"/>
        <w:jc w:val="left"/>
      </w:pPr>
      <w:r>
        <w:t xml:space="preserve">  </w:t>
      </w:r>
    </w:p>
    <w:p w:rsidR="00F0389E" w:rsidRDefault="00681324">
      <w:pPr>
        <w:ind w:left="689" w:right="697"/>
      </w:pPr>
      <w:r>
        <w:t xml:space="preserve">Random allocation will be undertaken by an independent body or person.  </w:t>
      </w:r>
    </w:p>
    <w:p w:rsidR="00B037C0" w:rsidRDefault="00681324" w:rsidP="00B037C0">
      <w:pPr>
        <w:spacing w:after="0" w:line="259" w:lineRule="auto"/>
        <w:ind w:left="708" w:firstLine="0"/>
        <w:jc w:val="left"/>
      </w:pPr>
      <w:r>
        <w:rPr>
          <w:b/>
          <w:sz w:val="24"/>
        </w:rPr>
        <w:t xml:space="preserve"> </w:t>
      </w:r>
      <w:r>
        <w:t xml:space="preserve"> </w:t>
      </w:r>
    </w:p>
    <w:p w:rsidR="00F0389E" w:rsidRDefault="00681324" w:rsidP="00B037C0">
      <w:pPr>
        <w:pStyle w:val="Heading1"/>
      </w:pPr>
      <w:r>
        <w:lastRenderedPageBreak/>
        <w:t>Appendix</w:t>
      </w:r>
      <w:r>
        <w:rPr>
          <w:u w:val="none"/>
        </w:rPr>
        <w:t xml:space="preserve">  </w:t>
      </w:r>
    </w:p>
    <w:p w:rsidR="00F0389E" w:rsidRDefault="00681324">
      <w:pPr>
        <w:ind w:left="10" w:right="697"/>
      </w:pPr>
      <w:r>
        <w:t>T</w:t>
      </w:r>
      <w:r>
        <w:t>he following maps show the catchment postcode areas over the 9 L</w:t>
      </w:r>
      <w:r w:rsidR="00B037C0">
        <w:t xml:space="preserve">ocal </w:t>
      </w:r>
      <w:r>
        <w:t>A</w:t>
      </w:r>
      <w:r w:rsidR="00B037C0">
        <w:t>uthoritie</w:t>
      </w:r>
      <w:r>
        <w:t>s from which students may apply to North East Futures UTC:</w:t>
      </w:r>
      <w:r>
        <w:rPr>
          <w:b/>
          <w:sz w:val="24"/>
        </w:rPr>
        <w:t xml:space="preserve"> </w:t>
      </w:r>
      <w:r>
        <w:t xml:space="preserve"> </w:t>
      </w:r>
    </w:p>
    <w:p w:rsidR="00F0389E" w:rsidRDefault="00681324">
      <w:pPr>
        <w:spacing w:after="0" w:line="259" w:lineRule="auto"/>
        <w:ind w:left="0" w:right="1164" w:firstLine="0"/>
        <w:jc w:val="right"/>
      </w:pPr>
      <w:r>
        <w:rPr>
          <w:sz w:val="24"/>
        </w:rPr>
        <w:t xml:space="preserve"> </w:t>
      </w:r>
      <w:r>
        <w:t xml:space="preserve"> </w:t>
      </w:r>
    </w:p>
    <w:p w:rsidR="00F0389E" w:rsidRDefault="00681324">
      <w:pPr>
        <w:spacing w:after="151" w:line="259" w:lineRule="auto"/>
        <w:ind w:left="0" w:right="1490" w:firstLine="0"/>
        <w:jc w:val="right"/>
      </w:pPr>
      <w:r>
        <w:rPr>
          <w:rFonts w:ascii="Calibri" w:eastAsia="Calibri" w:hAnsi="Calibri" w:cs="Calibri"/>
          <w:noProof/>
        </w:rPr>
        <mc:AlternateContent>
          <mc:Choice Requires="wpg">
            <w:drawing>
              <wp:inline distT="0" distB="0" distL="0" distR="0">
                <wp:extent cx="5040631" cy="2463165"/>
                <wp:effectExtent l="0" t="0" r="0" b="0"/>
                <wp:docPr id="7457" name="Group 7457"/>
                <wp:cNvGraphicFramePr/>
                <a:graphic xmlns:a="http://schemas.openxmlformats.org/drawingml/2006/main">
                  <a:graphicData uri="http://schemas.microsoft.com/office/word/2010/wordprocessingGroup">
                    <wpg:wgp>
                      <wpg:cNvGrpSpPr/>
                      <wpg:grpSpPr>
                        <a:xfrm>
                          <a:off x="0" y="0"/>
                          <a:ext cx="5040631" cy="2463165"/>
                          <a:chOff x="0" y="0"/>
                          <a:chExt cx="5040631" cy="2463165"/>
                        </a:xfrm>
                      </wpg:grpSpPr>
                      <pic:pic xmlns:pic="http://schemas.openxmlformats.org/drawingml/2006/picture">
                        <pic:nvPicPr>
                          <pic:cNvPr id="962" name="Picture 962"/>
                          <pic:cNvPicPr/>
                        </pic:nvPicPr>
                        <pic:blipFill>
                          <a:blip r:embed="rId19"/>
                          <a:stretch>
                            <a:fillRect/>
                          </a:stretch>
                        </pic:blipFill>
                        <pic:spPr>
                          <a:xfrm>
                            <a:off x="0" y="0"/>
                            <a:ext cx="2453640" cy="2462530"/>
                          </a:xfrm>
                          <a:prstGeom prst="rect">
                            <a:avLst/>
                          </a:prstGeom>
                        </pic:spPr>
                      </pic:pic>
                      <pic:pic xmlns:pic="http://schemas.openxmlformats.org/drawingml/2006/picture">
                        <pic:nvPicPr>
                          <pic:cNvPr id="964" name="Picture 964"/>
                          <pic:cNvPicPr/>
                        </pic:nvPicPr>
                        <pic:blipFill>
                          <a:blip r:embed="rId20"/>
                          <a:stretch>
                            <a:fillRect/>
                          </a:stretch>
                        </pic:blipFill>
                        <pic:spPr>
                          <a:xfrm>
                            <a:off x="2670810" y="635"/>
                            <a:ext cx="2369820" cy="2462530"/>
                          </a:xfrm>
                          <a:prstGeom prst="rect">
                            <a:avLst/>
                          </a:prstGeom>
                        </pic:spPr>
                      </pic:pic>
                    </wpg:wgp>
                  </a:graphicData>
                </a:graphic>
              </wp:inline>
            </w:drawing>
          </mc:Choice>
          <mc:Fallback xmlns:a="http://schemas.openxmlformats.org/drawingml/2006/main">
            <w:pict>
              <v:group id="Group 7457" style="width:396.9pt;height:193.95pt;mso-position-horizontal-relative:char;mso-position-vertical-relative:line" coordsize="50406,24631">
                <v:shape id="Picture 962" style="position:absolute;width:24536;height:24625;left:0;top:0;" filled="f">
                  <v:imagedata r:id="rId21"/>
                </v:shape>
                <v:shape id="Picture 964" style="position:absolute;width:23698;height:24625;left:26708;top:6;" filled="f">
                  <v:imagedata r:id="rId22"/>
                </v:shape>
              </v:group>
            </w:pict>
          </mc:Fallback>
        </mc:AlternateContent>
      </w:r>
      <w:r>
        <w:t xml:space="preserve"> </w:t>
      </w:r>
    </w:p>
    <w:p w:rsidR="00F0389E" w:rsidRDefault="00681324">
      <w:pPr>
        <w:numPr>
          <w:ilvl w:val="0"/>
          <w:numId w:val="2"/>
        </w:numPr>
        <w:spacing w:after="3" w:line="259" w:lineRule="auto"/>
        <w:ind w:hanging="360"/>
        <w:jc w:val="left"/>
      </w:pPr>
      <w:r>
        <w:rPr>
          <w:sz w:val="24"/>
        </w:rPr>
        <w:t xml:space="preserve">Only TD 15 </w:t>
      </w:r>
      <w:r>
        <w:t xml:space="preserve"> </w:t>
      </w:r>
    </w:p>
    <w:p w:rsidR="00F0389E" w:rsidRDefault="00681324">
      <w:pPr>
        <w:spacing w:after="0" w:line="259" w:lineRule="auto"/>
        <w:ind w:left="0" w:firstLine="0"/>
        <w:jc w:val="right"/>
      </w:pPr>
      <w:r>
        <w:rPr>
          <w:sz w:val="24"/>
        </w:rPr>
        <w:t xml:space="preserve">         </w:t>
      </w:r>
      <w:r>
        <w:t xml:space="preserve"> </w:t>
      </w:r>
    </w:p>
    <w:p w:rsidR="00F0389E" w:rsidRDefault="00681324">
      <w:pPr>
        <w:spacing w:after="64" w:line="259" w:lineRule="auto"/>
        <w:ind w:left="480" w:firstLine="0"/>
        <w:jc w:val="left"/>
      </w:pPr>
      <w:r>
        <w:t xml:space="preserve"> </w:t>
      </w:r>
    </w:p>
    <w:p w:rsidR="00F0389E" w:rsidRDefault="00681324">
      <w:pPr>
        <w:spacing w:after="0" w:line="259" w:lineRule="auto"/>
        <w:ind w:left="708" w:firstLine="0"/>
        <w:jc w:val="left"/>
      </w:pPr>
      <w:r>
        <w:rPr>
          <w:sz w:val="24"/>
        </w:rPr>
        <w:t xml:space="preserve"> </w:t>
      </w:r>
      <w:r>
        <w:rPr>
          <w:rFonts w:ascii="Calibri" w:eastAsia="Calibri" w:hAnsi="Calibri" w:cs="Calibri"/>
          <w:noProof/>
        </w:rPr>
        <mc:AlternateContent>
          <mc:Choice Requires="wpg">
            <w:drawing>
              <wp:inline distT="0" distB="0" distL="0" distR="0">
                <wp:extent cx="5044504" cy="2463165"/>
                <wp:effectExtent l="0" t="0" r="0" b="0"/>
                <wp:docPr id="7458" name="Group 7458"/>
                <wp:cNvGraphicFramePr/>
                <a:graphic xmlns:a="http://schemas.openxmlformats.org/drawingml/2006/main">
                  <a:graphicData uri="http://schemas.microsoft.com/office/word/2010/wordprocessingGroup">
                    <wpg:wgp>
                      <wpg:cNvGrpSpPr/>
                      <wpg:grpSpPr>
                        <a:xfrm>
                          <a:off x="0" y="0"/>
                          <a:ext cx="5044504" cy="2463165"/>
                          <a:chOff x="0" y="0"/>
                          <a:chExt cx="5044504" cy="2463165"/>
                        </a:xfrm>
                      </wpg:grpSpPr>
                      <pic:pic xmlns:pic="http://schemas.openxmlformats.org/drawingml/2006/picture">
                        <pic:nvPicPr>
                          <pic:cNvPr id="966" name="Picture 966"/>
                          <pic:cNvPicPr/>
                        </pic:nvPicPr>
                        <pic:blipFill>
                          <a:blip r:embed="rId23"/>
                          <a:stretch>
                            <a:fillRect/>
                          </a:stretch>
                        </pic:blipFill>
                        <pic:spPr>
                          <a:xfrm>
                            <a:off x="0" y="3175"/>
                            <a:ext cx="2463800" cy="2459990"/>
                          </a:xfrm>
                          <a:prstGeom prst="rect">
                            <a:avLst/>
                          </a:prstGeom>
                        </pic:spPr>
                      </pic:pic>
                      <pic:pic xmlns:pic="http://schemas.openxmlformats.org/drawingml/2006/picture">
                        <pic:nvPicPr>
                          <pic:cNvPr id="968" name="Picture 968"/>
                          <pic:cNvPicPr/>
                        </pic:nvPicPr>
                        <pic:blipFill>
                          <a:blip r:embed="rId24"/>
                          <a:stretch>
                            <a:fillRect/>
                          </a:stretch>
                        </pic:blipFill>
                        <pic:spPr>
                          <a:xfrm>
                            <a:off x="2743264" y="0"/>
                            <a:ext cx="2301240" cy="2456180"/>
                          </a:xfrm>
                          <a:prstGeom prst="rect">
                            <a:avLst/>
                          </a:prstGeom>
                        </pic:spPr>
                      </pic:pic>
                    </wpg:wgp>
                  </a:graphicData>
                </a:graphic>
              </wp:inline>
            </w:drawing>
          </mc:Choice>
          <mc:Fallback xmlns:a="http://schemas.openxmlformats.org/drawingml/2006/main">
            <w:pict>
              <v:group id="Group 7458" style="width:397.205pt;height:193.95pt;mso-position-horizontal-relative:char;mso-position-vertical-relative:line" coordsize="50445,24631">
                <v:shape id="Picture 966" style="position:absolute;width:24638;height:24599;left:0;top:31;" filled="f">
                  <v:imagedata r:id="rId25"/>
                </v:shape>
                <v:shape id="Picture 968" style="position:absolute;width:23012;height:24561;left:27432;top:0;" filled="f">
                  <v:imagedata r:id="rId26"/>
                </v:shape>
              </v:group>
            </w:pict>
          </mc:Fallback>
        </mc:AlternateContent>
      </w:r>
      <w:r>
        <w:t xml:space="preserve"> </w:t>
      </w:r>
    </w:p>
    <w:p w:rsidR="00F0389E" w:rsidRDefault="00681324">
      <w:pPr>
        <w:spacing w:after="0" w:line="259" w:lineRule="auto"/>
        <w:ind w:left="0" w:right="1026" w:firstLine="0"/>
        <w:jc w:val="right"/>
      </w:pPr>
      <w:r>
        <w:rPr>
          <w:sz w:val="24"/>
        </w:rPr>
        <w:t xml:space="preserve">  </w:t>
      </w:r>
    </w:p>
    <w:p w:rsidR="00F0389E" w:rsidRDefault="00681324">
      <w:pPr>
        <w:spacing w:after="0" w:line="259" w:lineRule="auto"/>
        <w:ind w:left="0" w:right="1104" w:firstLine="0"/>
        <w:jc w:val="right"/>
      </w:pPr>
      <w:r>
        <w:t xml:space="preserve"> </w:t>
      </w:r>
    </w:p>
    <w:p w:rsidR="00F0389E" w:rsidRDefault="00681324">
      <w:pPr>
        <w:spacing w:after="176" w:line="259" w:lineRule="auto"/>
        <w:ind w:left="0" w:right="1366" w:firstLine="0"/>
        <w:jc w:val="right"/>
      </w:pPr>
      <w:r>
        <w:rPr>
          <w:rFonts w:ascii="Calibri" w:eastAsia="Calibri" w:hAnsi="Calibri" w:cs="Calibri"/>
          <w:noProof/>
        </w:rPr>
        <w:lastRenderedPageBreak/>
        <mc:AlternateContent>
          <mc:Choice Requires="wpg">
            <w:drawing>
              <wp:inline distT="0" distB="0" distL="0" distR="0">
                <wp:extent cx="5123180" cy="2462530"/>
                <wp:effectExtent l="0" t="0" r="0" b="0"/>
                <wp:docPr id="7622" name="Group 7622"/>
                <wp:cNvGraphicFramePr/>
                <a:graphic xmlns:a="http://schemas.openxmlformats.org/drawingml/2006/main">
                  <a:graphicData uri="http://schemas.microsoft.com/office/word/2010/wordprocessingGroup">
                    <wpg:wgp>
                      <wpg:cNvGrpSpPr/>
                      <wpg:grpSpPr>
                        <a:xfrm>
                          <a:off x="0" y="0"/>
                          <a:ext cx="5123180" cy="2462530"/>
                          <a:chOff x="0" y="0"/>
                          <a:chExt cx="5123180" cy="2462530"/>
                        </a:xfrm>
                      </wpg:grpSpPr>
                      <pic:pic xmlns:pic="http://schemas.openxmlformats.org/drawingml/2006/picture">
                        <pic:nvPicPr>
                          <pic:cNvPr id="986" name="Picture 986"/>
                          <pic:cNvPicPr/>
                        </pic:nvPicPr>
                        <pic:blipFill>
                          <a:blip r:embed="rId27"/>
                          <a:stretch>
                            <a:fillRect/>
                          </a:stretch>
                        </pic:blipFill>
                        <pic:spPr>
                          <a:xfrm>
                            <a:off x="0" y="0"/>
                            <a:ext cx="2462530" cy="2462530"/>
                          </a:xfrm>
                          <a:prstGeom prst="rect">
                            <a:avLst/>
                          </a:prstGeom>
                        </pic:spPr>
                      </pic:pic>
                      <pic:pic xmlns:pic="http://schemas.openxmlformats.org/drawingml/2006/picture">
                        <pic:nvPicPr>
                          <pic:cNvPr id="988" name="Picture 988"/>
                          <pic:cNvPicPr/>
                        </pic:nvPicPr>
                        <pic:blipFill>
                          <a:blip r:embed="rId28"/>
                          <a:stretch>
                            <a:fillRect/>
                          </a:stretch>
                        </pic:blipFill>
                        <pic:spPr>
                          <a:xfrm>
                            <a:off x="2783840" y="0"/>
                            <a:ext cx="2339340" cy="2364105"/>
                          </a:xfrm>
                          <a:prstGeom prst="rect">
                            <a:avLst/>
                          </a:prstGeom>
                        </pic:spPr>
                      </pic:pic>
                    </wpg:wgp>
                  </a:graphicData>
                </a:graphic>
              </wp:inline>
            </w:drawing>
          </mc:Choice>
          <mc:Fallback xmlns:a="http://schemas.openxmlformats.org/drawingml/2006/main">
            <w:pict>
              <v:group id="Group 7622" style="width:403.4pt;height:193.9pt;mso-position-horizontal-relative:char;mso-position-vertical-relative:line" coordsize="51231,24625">
                <v:shape id="Picture 986" style="position:absolute;width:24625;height:24625;left:0;top:0;" filled="f">
                  <v:imagedata r:id="rId29"/>
                </v:shape>
                <v:shape id="Picture 988" style="position:absolute;width:23393;height:23641;left:27838;top:0;" filled="f">
                  <v:imagedata r:id="rId30"/>
                </v:shape>
              </v:group>
            </w:pict>
          </mc:Fallback>
        </mc:AlternateContent>
      </w:r>
      <w:r>
        <w:t xml:space="preserve"> </w:t>
      </w:r>
    </w:p>
    <w:p w:rsidR="00F0389E" w:rsidRDefault="00681324">
      <w:pPr>
        <w:numPr>
          <w:ilvl w:val="0"/>
          <w:numId w:val="2"/>
        </w:numPr>
        <w:spacing w:after="3" w:line="259" w:lineRule="auto"/>
        <w:ind w:hanging="360"/>
        <w:jc w:val="left"/>
      </w:pPr>
      <w:r>
        <w:rPr>
          <w:sz w:val="24"/>
        </w:rPr>
        <w:t xml:space="preserve">Only TS24,TS25,TS26 and TS27 </w:t>
      </w:r>
      <w:r>
        <w:t xml:space="preserve"> </w:t>
      </w:r>
    </w:p>
    <w:sectPr w:rsidR="00F0389E">
      <w:footerReference w:type="even" r:id="rId31"/>
      <w:footerReference w:type="default" r:id="rId32"/>
      <w:footerReference w:type="first" r:id="rId33"/>
      <w:pgSz w:w="11899" w:h="16841"/>
      <w:pgMar w:top="1163" w:right="824" w:bottom="1154" w:left="1092" w:header="720" w:footer="6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324" w:rsidRDefault="00681324">
      <w:pPr>
        <w:spacing w:after="0" w:line="240" w:lineRule="auto"/>
      </w:pPr>
      <w:r>
        <w:separator/>
      </w:r>
    </w:p>
  </w:endnote>
  <w:endnote w:type="continuationSeparator" w:id="0">
    <w:p w:rsidR="00681324" w:rsidRDefault="0068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9E" w:rsidRDefault="00681324">
    <w:pPr>
      <w:spacing w:after="145" w:line="259" w:lineRule="auto"/>
      <w:ind w:left="708" w:firstLine="0"/>
      <w:jc w:val="left"/>
    </w:pPr>
    <w:r>
      <w:t xml:space="preserve">  </w:t>
    </w:r>
  </w:p>
  <w:p w:rsidR="00F0389E" w:rsidRDefault="00681324">
    <w:pPr>
      <w:tabs>
        <w:tab w:val="center" w:pos="2242"/>
        <w:tab w:val="center" w:pos="9337"/>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rPr>
        <w:sz w:val="20"/>
      </w:rPr>
      <w:t xml:space="preserve">Admissions Arrangements for 2021   </w:t>
    </w:r>
    <w:r>
      <w:rPr>
        <w:sz w:val="20"/>
      </w:rPr>
      <w:tab/>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9E" w:rsidRDefault="00681324">
    <w:pPr>
      <w:spacing w:after="145" w:line="259" w:lineRule="auto"/>
      <w:ind w:left="708" w:firstLine="0"/>
      <w:jc w:val="left"/>
    </w:pPr>
    <w:r>
      <w:t xml:space="preserve">  </w:t>
    </w:r>
  </w:p>
  <w:p w:rsidR="00F0389E" w:rsidRDefault="00681324">
    <w:pPr>
      <w:tabs>
        <w:tab w:val="center" w:pos="2242"/>
        <w:tab w:val="center" w:pos="9337"/>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rsidR="00B037C0">
      <w:rPr>
        <w:sz w:val="20"/>
      </w:rPr>
      <w:t>Admissions Arrangements for 2022</w:t>
    </w:r>
    <w:r>
      <w:rPr>
        <w:sz w:val="20"/>
      </w:rPr>
      <w:t xml:space="preserve">   </w:t>
    </w:r>
    <w:r>
      <w:rPr>
        <w:sz w:val="20"/>
      </w:rPr>
      <w:tab/>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55069C">
      <w:rPr>
        <w:rFonts w:ascii="Cambria" w:eastAsia="Cambria" w:hAnsi="Cambria" w:cs="Cambria"/>
        <w:noProof/>
        <w:sz w:val="24"/>
      </w:rPr>
      <w:t>6</w:t>
    </w:r>
    <w:r>
      <w:rPr>
        <w:rFonts w:ascii="Cambria" w:eastAsia="Cambria" w:hAnsi="Cambria" w:cs="Cambria"/>
        <w:sz w:val="24"/>
      </w:rPr>
      <w:fldChar w:fldCharType="end"/>
    </w:r>
    <w:r>
      <w:rPr>
        <w:rFonts w:ascii="Cambria" w:eastAsia="Cambria" w:hAnsi="Cambria" w:cs="Cambria"/>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9E" w:rsidRDefault="00681324">
    <w:pPr>
      <w:tabs>
        <w:tab w:val="center" w:pos="2242"/>
        <w:tab w:val="center" w:pos="9337"/>
      </w:tabs>
      <w:spacing w:after="0" w:line="259" w:lineRule="auto"/>
      <w:ind w:left="0" w:firstLine="0"/>
      <w:jc w:val="left"/>
    </w:pPr>
    <w:r>
      <w:rPr>
        <w:rFonts w:ascii="Calibri" w:eastAsia="Calibri" w:hAnsi="Calibri" w:cs="Calibri"/>
      </w:rPr>
      <w:t xml:space="preserve"> </w:t>
    </w:r>
    <w:r>
      <w:rPr>
        <w:rFonts w:ascii="Calibri" w:eastAsia="Calibri" w:hAnsi="Calibri" w:cs="Calibri"/>
      </w:rPr>
      <w:tab/>
    </w:r>
    <w:r w:rsidR="0055069C">
      <w:rPr>
        <w:sz w:val="20"/>
      </w:rPr>
      <w:t>Admissions Arrangements for 2022</w:t>
    </w:r>
    <w:r>
      <w:rPr>
        <w:sz w:val="20"/>
      </w:rPr>
      <w:t xml:space="preserve">   </w:t>
    </w:r>
    <w:r>
      <w:rPr>
        <w:sz w:val="20"/>
      </w:rPr>
      <w:tab/>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55069C">
      <w:rPr>
        <w:rFonts w:ascii="Cambria" w:eastAsia="Cambria" w:hAnsi="Cambria" w:cs="Cambria"/>
        <w:noProof/>
        <w:sz w:val="24"/>
      </w:rPr>
      <w:t>1</w:t>
    </w:r>
    <w:r>
      <w:rPr>
        <w:rFonts w:ascii="Cambria" w:eastAsia="Cambria" w:hAnsi="Cambria" w:cs="Cambria"/>
        <w:sz w:val="24"/>
      </w:rPr>
      <w:fldChar w:fldCharType="end"/>
    </w:r>
    <w:r>
      <w:rPr>
        <w:rFonts w:ascii="Cambria" w:eastAsia="Cambria" w:hAnsi="Cambria" w:cs="Cambria"/>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324" w:rsidRDefault="00681324">
      <w:pPr>
        <w:spacing w:after="0" w:line="240" w:lineRule="auto"/>
      </w:pPr>
      <w:r>
        <w:separator/>
      </w:r>
    </w:p>
  </w:footnote>
  <w:footnote w:type="continuationSeparator" w:id="0">
    <w:p w:rsidR="00681324" w:rsidRDefault="00681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66DE"/>
    <w:multiLevelType w:val="hybridMultilevel"/>
    <w:tmpl w:val="35B6F7A8"/>
    <w:lvl w:ilvl="0" w:tplc="8146E20C">
      <w:start w:val="1"/>
      <w:numFmt w:val="lowerRoman"/>
      <w:lvlText w:val="(%1)"/>
      <w:lvlJc w:val="left"/>
      <w:pPr>
        <w:ind w:left="17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4963BCC">
      <w:start w:val="1"/>
      <w:numFmt w:val="lowerLetter"/>
      <w:lvlText w:val="%2"/>
      <w:lvlJc w:val="left"/>
      <w:pPr>
        <w:ind w:left="21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8E4A258">
      <w:start w:val="1"/>
      <w:numFmt w:val="lowerRoman"/>
      <w:lvlText w:val="%3"/>
      <w:lvlJc w:val="left"/>
      <w:pPr>
        <w:ind w:left="28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55EA91E">
      <w:start w:val="1"/>
      <w:numFmt w:val="decimal"/>
      <w:lvlText w:val="%4"/>
      <w:lvlJc w:val="left"/>
      <w:pPr>
        <w:ind w:left="35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7D601E0">
      <w:start w:val="1"/>
      <w:numFmt w:val="lowerLetter"/>
      <w:lvlText w:val="%5"/>
      <w:lvlJc w:val="left"/>
      <w:pPr>
        <w:ind w:left="43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A7AED96">
      <w:start w:val="1"/>
      <w:numFmt w:val="lowerRoman"/>
      <w:lvlText w:val="%6"/>
      <w:lvlJc w:val="left"/>
      <w:pPr>
        <w:ind w:left="50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3BD60ABE">
      <w:start w:val="1"/>
      <w:numFmt w:val="decimal"/>
      <w:lvlText w:val="%7"/>
      <w:lvlJc w:val="left"/>
      <w:pPr>
        <w:ind w:left="57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8BE49F0">
      <w:start w:val="1"/>
      <w:numFmt w:val="lowerLetter"/>
      <w:lvlText w:val="%8"/>
      <w:lvlJc w:val="left"/>
      <w:pPr>
        <w:ind w:left="64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DB2B1D4">
      <w:start w:val="1"/>
      <w:numFmt w:val="lowerRoman"/>
      <w:lvlText w:val="%9"/>
      <w:lvlJc w:val="left"/>
      <w:pPr>
        <w:ind w:left="71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F27A72"/>
    <w:multiLevelType w:val="hybridMultilevel"/>
    <w:tmpl w:val="4EDCCDFA"/>
    <w:lvl w:ilvl="0" w:tplc="8DEE6662">
      <w:start w:val="1"/>
      <w:numFmt w:val="bullet"/>
      <w:lvlText w:val="•"/>
      <w:lvlJc w:val="left"/>
      <w:pPr>
        <w:ind w:left="1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0ACF34">
      <w:start w:val="1"/>
      <w:numFmt w:val="bullet"/>
      <w:lvlText w:val="o"/>
      <w:lvlJc w:val="left"/>
      <w:pPr>
        <w:ind w:left="1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047C22">
      <w:start w:val="1"/>
      <w:numFmt w:val="bullet"/>
      <w:lvlText w:val="▪"/>
      <w:lvlJc w:val="left"/>
      <w:pPr>
        <w:ind w:left="2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10F02C">
      <w:start w:val="1"/>
      <w:numFmt w:val="bullet"/>
      <w:lvlText w:val="•"/>
      <w:lvlJc w:val="left"/>
      <w:pPr>
        <w:ind w:left="3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D2E284">
      <w:start w:val="1"/>
      <w:numFmt w:val="bullet"/>
      <w:lvlText w:val="o"/>
      <w:lvlJc w:val="left"/>
      <w:pPr>
        <w:ind w:left="3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6E5904">
      <w:start w:val="1"/>
      <w:numFmt w:val="bullet"/>
      <w:lvlText w:val="▪"/>
      <w:lvlJc w:val="left"/>
      <w:pPr>
        <w:ind w:left="4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0CA84E">
      <w:start w:val="1"/>
      <w:numFmt w:val="bullet"/>
      <w:lvlText w:val="•"/>
      <w:lvlJc w:val="left"/>
      <w:pPr>
        <w:ind w:left="5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520392">
      <w:start w:val="1"/>
      <w:numFmt w:val="bullet"/>
      <w:lvlText w:val="o"/>
      <w:lvlJc w:val="left"/>
      <w:pPr>
        <w:ind w:left="6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FC6754">
      <w:start w:val="1"/>
      <w:numFmt w:val="bullet"/>
      <w:lvlText w:val="▪"/>
      <w:lvlJc w:val="left"/>
      <w:pPr>
        <w:ind w:left="6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9E"/>
    <w:rsid w:val="0055069C"/>
    <w:rsid w:val="00681324"/>
    <w:rsid w:val="00B037C0"/>
    <w:rsid w:val="00DB29F0"/>
    <w:rsid w:val="00F03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7E8C"/>
  <w15:docId w15:val="{0821F556-EB30-4050-8539-288B8EC2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704" w:hanging="10"/>
      <w:jc w:val="both"/>
    </w:pPr>
    <w:rPr>
      <w:rFonts w:ascii="Trebuchet MS" w:eastAsia="Trebuchet MS" w:hAnsi="Trebuchet MS" w:cs="Trebuchet MS"/>
      <w:color w:val="000000"/>
    </w:rPr>
  </w:style>
  <w:style w:type="paragraph" w:styleId="Heading1">
    <w:name w:val="heading 1"/>
    <w:next w:val="Normal"/>
    <w:link w:val="Heading1Char"/>
    <w:uiPriority w:val="9"/>
    <w:unhideWhenUsed/>
    <w:qFormat/>
    <w:pPr>
      <w:keepNext/>
      <w:keepLines/>
      <w:spacing w:after="0"/>
      <w:ind w:left="704" w:hanging="10"/>
      <w:outlineLvl w:val="0"/>
    </w:pPr>
    <w:rPr>
      <w:rFonts w:ascii="Trebuchet MS" w:eastAsia="Trebuchet MS" w:hAnsi="Trebuchet MS" w:cs="Trebuchet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03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7C0"/>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efuturesutc.co.uk/" TargetMode="External"/><Relationship Id="rId13" Type="http://schemas.openxmlformats.org/officeDocument/2006/relationships/hyperlink" Target="http://www.nefuturesutc.co.uk/" TargetMode="External"/><Relationship Id="rId18" Type="http://schemas.openxmlformats.org/officeDocument/2006/relationships/hyperlink" Target="http://www.nefuturesutc.co.uk/" TargetMode="External"/><Relationship Id="rId26" Type="http://schemas.openxmlformats.org/officeDocument/2006/relationships/image" Target="media/image60.jpg"/><Relationship Id="rId3" Type="http://schemas.openxmlformats.org/officeDocument/2006/relationships/settings" Target="settings.xml"/><Relationship Id="rId21" Type="http://schemas.openxmlformats.org/officeDocument/2006/relationships/image" Target="media/image30.jp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nefuturesutc.co.uk/" TargetMode="External"/><Relationship Id="rId17" Type="http://schemas.openxmlformats.org/officeDocument/2006/relationships/hyperlink" Target="http://www.nefuturesutc.co.uk/" TargetMode="External"/><Relationship Id="rId25" Type="http://schemas.openxmlformats.org/officeDocument/2006/relationships/image" Target="media/image50.jp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nefuturesutc.co.uk/" TargetMode="External"/><Relationship Id="rId20" Type="http://schemas.openxmlformats.org/officeDocument/2006/relationships/image" Target="media/image3.jpg"/><Relationship Id="rId29" Type="http://schemas.openxmlformats.org/officeDocument/2006/relationships/image" Target="media/image7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futuresutc.co.uk/" TargetMode="External"/><Relationship Id="rId24" Type="http://schemas.openxmlformats.org/officeDocument/2006/relationships/image" Target="media/image6.jp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efuturesutc.co.uk/" TargetMode="External"/><Relationship Id="rId23" Type="http://schemas.openxmlformats.org/officeDocument/2006/relationships/image" Target="media/image5.jpg"/><Relationship Id="rId28" Type="http://schemas.openxmlformats.org/officeDocument/2006/relationships/image" Target="media/image8.jpg"/><Relationship Id="rId10" Type="http://schemas.openxmlformats.org/officeDocument/2006/relationships/hyperlink" Target="http://www.nefuturesutc.co.uk/" TargetMode="External"/><Relationship Id="rId19" Type="http://schemas.openxmlformats.org/officeDocument/2006/relationships/image" Target="media/image2.jp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futuresutc.co.uk/" TargetMode="External"/><Relationship Id="rId14" Type="http://schemas.openxmlformats.org/officeDocument/2006/relationships/hyperlink" Target="http://www.nefuturesutc.co.uk/" TargetMode="External"/><Relationship Id="rId22" Type="http://schemas.openxmlformats.org/officeDocument/2006/relationships/image" Target="media/image4.jpg"/><Relationship Id="rId27" Type="http://schemas.openxmlformats.org/officeDocument/2006/relationships/image" Target="media/image7.jpg"/><Relationship Id="rId30" Type="http://schemas.openxmlformats.org/officeDocument/2006/relationships/image" Target="media/image80.jp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North East Futures UTC</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Allsopp</dc:creator>
  <cp:keywords/>
  <cp:lastModifiedBy>Dan Sydes</cp:lastModifiedBy>
  <cp:revision>4</cp:revision>
  <dcterms:created xsi:type="dcterms:W3CDTF">2020-08-10T13:41:00Z</dcterms:created>
  <dcterms:modified xsi:type="dcterms:W3CDTF">2020-08-10T13:50:00Z</dcterms:modified>
</cp:coreProperties>
</file>